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03" w:rsidRPr="00374C61" w:rsidRDefault="00811203" w:rsidP="00984A5F">
      <w:pPr>
        <w:pStyle w:val="List"/>
        <w:spacing w:after="0" w:line="240" w:lineRule="auto"/>
        <w:ind w:firstLine="284"/>
        <w:jc w:val="both"/>
        <w:rPr>
          <w:rFonts w:ascii="Times New Roman" w:hAnsi="Times New Roman" w:cs="Times New Roman"/>
          <w:lang w:val="en-GB"/>
        </w:rPr>
      </w:pPr>
    </w:p>
    <w:p w:rsidR="00E85DEA" w:rsidRDefault="00CC292E" w:rsidP="00E85DEA">
      <w:pPr>
        <w:spacing w:after="0" w:line="240" w:lineRule="auto"/>
        <w:jc w:val="center"/>
        <w:rPr>
          <w:rFonts w:ascii="Times New Roman" w:eastAsia="Times New Roman" w:hAnsi="Times New Roman" w:cs="Times New Roman"/>
          <w:b/>
          <w:color w:val="000000"/>
          <w:sz w:val="28"/>
          <w:szCs w:val="28"/>
          <w:lang w:val="en-GB" w:eastAsia="en-GB"/>
        </w:rPr>
      </w:pPr>
      <w:bookmarkStart w:id="0" w:name="_GoBack"/>
      <w:bookmarkEnd w:id="0"/>
      <w:r w:rsidRPr="00E85DEA">
        <w:rPr>
          <w:rFonts w:ascii="Times New Roman" w:eastAsia="Times New Roman" w:hAnsi="Times New Roman" w:cs="Times New Roman"/>
          <w:b/>
          <w:color w:val="000000"/>
          <w:sz w:val="28"/>
          <w:szCs w:val="28"/>
          <w:lang w:val="en-GB" w:eastAsia="en-GB"/>
        </w:rPr>
        <w:t xml:space="preserve">YOUTH ECONOMIC EMPOWERMENT </w:t>
      </w:r>
    </w:p>
    <w:p w:rsidR="00E85DEA" w:rsidRDefault="00CC292E" w:rsidP="00E85DEA">
      <w:pPr>
        <w:spacing w:after="0" w:line="240" w:lineRule="auto"/>
        <w:jc w:val="center"/>
        <w:rPr>
          <w:rFonts w:ascii="Times New Roman" w:eastAsia="Times New Roman" w:hAnsi="Times New Roman" w:cs="Times New Roman"/>
          <w:b/>
          <w:color w:val="000000"/>
          <w:sz w:val="28"/>
          <w:szCs w:val="28"/>
          <w:lang w:val="en-GB" w:eastAsia="en-GB"/>
        </w:rPr>
      </w:pPr>
      <w:r w:rsidRPr="00E85DEA">
        <w:rPr>
          <w:rFonts w:ascii="Times New Roman" w:eastAsia="Times New Roman" w:hAnsi="Times New Roman" w:cs="Times New Roman"/>
          <w:b/>
          <w:color w:val="000000"/>
          <w:sz w:val="28"/>
          <w:szCs w:val="28"/>
          <w:lang w:val="en-GB" w:eastAsia="en-GB"/>
        </w:rPr>
        <w:t xml:space="preserve">AND POVERTY REDUCTION IN WEST AFRICA (REFERENCE TO THE AMNESTY PROGRAMME </w:t>
      </w:r>
    </w:p>
    <w:p w:rsidR="00CC292E" w:rsidRDefault="00CC292E" w:rsidP="00E85DEA">
      <w:pPr>
        <w:spacing w:after="0" w:line="240" w:lineRule="auto"/>
        <w:jc w:val="center"/>
        <w:rPr>
          <w:rFonts w:ascii="Times New Roman" w:eastAsia="Times New Roman" w:hAnsi="Times New Roman" w:cs="Times New Roman"/>
          <w:b/>
          <w:color w:val="000000"/>
          <w:sz w:val="28"/>
          <w:szCs w:val="28"/>
          <w:lang w:val="en-GB" w:eastAsia="en-GB"/>
        </w:rPr>
      </w:pPr>
      <w:r w:rsidRPr="00E85DEA">
        <w:rPr>
          <w:rFonts w:ascii="Times New Roman" w:eastAsia="Times New Roman" w:hAnsi="Times New Roman" w:cs="Times New Roman"/>
          <w:b/>
          <w:color w:val="000000"/>
          <w:sz w:val="28"/>
          <w:szCs w:val="28"/>
          <w:lang w:val="en-GB" w:eastAsia="en-GB"/>
        </w:rPr>
        <w:t>IN THE NIGER DELTA)</w:t>
      </w:r>
    </w:p>
    <w:p w:rsidR="00E85DEA" w:rsidRPr="00E85DEA" w:rsidRDefault="00E85DEA" w:rsidP="00E85DEA">
      <w:pPr>
        <w:spacing w:after="0" w:line="240" w:lineRule="auto"/>
        <w:jc w:val="center"/>
        <w:rPr>
          <w:rFonts w:ascii="Times New Roman" w:eastAsia="Times New Roman" w:hAnsi="Times New Roman" w:cs="Times New Roman"/>
          <w:b/>
          <w:color w:val="000000"/>
          <w:sz w:val="28"/>
          <w:szCs w:val="28"/>
          <w:lang w:val="en-GB" w:eastAsia="en-GB"/>
        </w:rPr>
      </w:pPr>
    </w:p>
    <w:p w:rsidR="00E85DEA" w:rsidRDefault="00CC292E" w:rsidP="00E85DEA">
      <w:pPr>
        <w:spacing w:after="0" w:line="240" w:lineRule="auto"/>
        <w:jc w:val="center"/>
        <w:rPr>
          <w:rFonts w:ascii="Times New Roman" w:hAnsi="Times New Roman" w:cs="Times New Roman"/>
          <w:b/>
          <w:bCs/>
          <w:sz w:val="24"/>
          <w:szCs w:val="24"/>
        </w:rPr>
      </w:pPr>
      <w:r w:rsidRPr="00E85DEA">
        <w:rPr>
          <w:rFonts w:ascii="Times New Roman" w:hAnsi="Times New Roman" w:cs="Times New Roman"/>
          <w:b/>
          <w:bCs/>
          <w:sz w:val="24"/>
          <w:szCs w:val="24"/>
        </w:rPr>
        <w:t>Falana Olatunbosun AYO,</w:t>
      </w:r>
      <w:r w:rsidR="00E85DEA" w:rsidRPr="00E85DEA">
        <w:rPr>
          <w:rFonts w:ascii="Times New Roman" w:hAnsi="Times New Roman" w:cs="Times New Roman"/>
          <w:b/>
          <w:bCs/>
          <w:sz w:val="24"/>
          <w:szCs w:val="24"/>
        </w:rPr>
        <w:t xml:space="preserve"> Adedun Olalekan ADEMOLA, </w:t>
      </w:r>
    </w:p>
    <w:p w:rsidR="00CC292E" w:rsidRPr="00E85DEA" w:rsidRDefault="00E85DEA" w:rsidP="00E85DEA">
      <w:pPr>
        <w:spacing w:after="0" w:line="240" w:lineRule="auto"/>
        <w:jc w:val="center"/>
        <w:rPr>
          <w:rFonts w:ascii="Times New Roman" w:hAnsi="Times New Roman" w:cs="Times New Roman"/>
          <w:b/>
          <w:bCs/>
          <w:sz w:val="24"/>
          <w:szCs w:val="24"/>
        </w:rPr>
      </w:pPr>
      <w:r w:rsidRPr="00E85DEA">
        <w:rPr>
          <w:rFonts w:ascii="Times New Roman" w:hAnsi="Times New Roman" w:cs="Times New Roman"/>
          <w:b/>
          <w:bCs/>
          <w:sz w:val="24"/>
          <w:szCs w:val="24"/>
        </w:rPr>
        <w:t>Familoye Oluwole ADEOLU</w:t>
      </w:r>
    </w:p>
    <w:p w:rsidR="00CC292E" w:rsidRPr="00E85DEA" w:rsidRDefault="00CC292E" w:rsidP="00E85DEA">
      <w:pPr>
        <w:spacing w:after="0" w:line="240" w:lineRule="auto"/>
        <w:jc w:val="center"/>
        <w:rPr>
          <w:rFonts w:ascii="Times New Roman" w:hAnsi="Times New Roman" w:cs="Times New Roman"/>
          <w:b/>
          <w:bCs/>
          <w:i/>
          <w:iCs/>
          <w:sz w:val="24"/>
          <w:szCs w:val="24"/>
        </w:rPr>
      </w:pPr>
      <w:r w:rsidRPr="00E85DEA">
        <w:rPr>
          <w:rFonts w:ascii="Times New Roman" w:hAnsi="Times New Roman" w:cs="Times New Roman"/>
          <w:b/>
          <w:bCs/>
          <w:i/>
          <w:iCs/>
          <w:sz w:val="24"/>
          <w:szCs w:val="24"/>
        </w:rPr>
        <w:t>Federal Ministry of Mine and Steel Development</w:t>
      </w:r>
      <w:r w:rsidR="00E85DEA" w:rsidRPr="00E85DEA">
        <w:rPr>
          <w:rFonts w:ascii="Times New Roman" w:hAnsi="Times New Roman" w:cs="Times New Roman"/>
          <w:b/>
          <w:bCs/>
          <w:i/>
          <w:iCs/>
          <w:sz w:val="24"/>
          <w:szCs w:val="24"/>
        </w:rPr>
        <w:t xml:space="preserve">, </w:t>
      </w:r>
      <w:r w:rsidRPr="00E85DEA">
        <w:rPr>
          <w:rFonts w:ascii="Times New Roman" w:hAnsi="Times New Roman" w:cs="Times New Roman"/>
          <w:b/>
          <w:bCs/>
          <w:i/>
          <w:iCs/>
          <w:sz w:val="24"/>
          <w:szCs w:val="24"/>
        </w:rPr>
        <w:t>National Planning and Budget Office of the Federation</w:t>
      </w:r>
      <w:r w:rsidR="00E85DEA" w:rsidRPr="00E85DEA">
        <w:rPr>
          <w:rFonts w:ascii="Times New Roman" w:hAnsi="Times New Roman" w:cs="Times New Roman"/>
          <w:b/>
          <w:bCs/>
          <w:i/>
          <w:iCs/>
          <w:sz w:val="24"/>
          <w:szCs w:val="24"/>
        </w:rPr>
        <w:t xml:space="preserve">, </w:t>
      </w:r>
      <w:r w:rsidRPr="00E85DEA">
        <w:rPr>
          <w:rFonts w:ascii="Times New Roman" w:hAnsi="Times New Roman" w:cs="Times New Roman"/>
          <w:b/>
          <w:bCs/>
          <w:i/>
          <w:iCs/>
          <w:sz w:val="24"/>
          <w:szCs w:val="24"/>
        </w:rPr>
        <w:t>Ekiti State Internal Revenue Service</w:t>
      </w:r>
      <w:r w:rsidR="00E85DEA" w:rsidRPr="00E85DEA">
        <w:rPr>
          <w:rFonts w:ascii="Times New Roman" w:hAnsi="Times New Roman" w:cs="Times New Roman"/>
          <w:b/>
          <w:bCs/>
          <w:i/>
          <w:iCs/>
          <w:sz w:val="24"/>
          <w:szCs w:val="24"/>
        </w:rPr>
        <w:t xml:space="preserve">, Email: </w:t>
      </w:r>
      <w:r w:rsidRPr="00E85DEA">
        <w:rPr>
          <w:rFonts w:ascii="Times New Roman" w:eastAsia="Times New Roman" w:hAnsi="Times New Roman" w:cs="Times New Roman"/>
          <w:b/>
          <w:bCs/>
          <w:i/>
          <w:iCs/>
          <w:color w:val="000000"/>
          <w:sz w:val="24"/>
          <w:szCs w:val="24"/>
          <w:lang w:val="en-GB" w:eastAsia="en-GB"/>
        </w:rPr>
        <w:t>falanatubosun5@gmail.com</w:t>
      </w:r>
    </w:p>
    <w:p w:rsidR="00E85DEA" w:rsidRPr="00E85DEA" w:rsidRDefault="00E85DEA" w:rsidP="00CC292E">
      <w:pPr>
        <w:spacing w:after="0" w:line="240" w:lineRule="auto"/>
        <w:ind w:firstLine="284"/>
        <w:rPr>
          <w:rFonts w:ascii="Times New Roman" w:eastAsia="Times New Roman" w:hAnsi="Times New Roman" w:cs="Times New Roman"/>
          <w:b/>
          <w:color w:val="000000"/>
          <w:sz w:val="28"/>
          <w:szCs w:val="28"/>
          <w:lang w:val="en-GB" w:eastAsia="en-GB"/>
        </w:rPr>
      </w:pPr>
    </w:p>
    <w:p w:rsidR="00E85DEA" w:rsidRPr="00E85DEA" w:rsidRDefault="00E85DEA" w:rsidP="00CC292E">
      <w:pPr>
        <w:spacing w:after="0" w:line="240" w:lineRule="auto"/>
        <w:ind w:firstLine="284"/>
        <w:rPr>
          <w:rFonts w:ascii="Times New Roman" w:eastAsia="Times New Roman" w:hAnsi="Times New Roman" w:cs="Times New Roman"/>
          <w:b/>
          <w:color w:val="000000"/>
          <w:sz w:val="28"/>
          <w:szCs w:val="28"/>
          <w:lang w:val="en-GB" w:eastAsia="en-GB"/>
        </w:rPr>
      </w:pPr>
    </w:p>
    <w:p w:rsidR="00E85DEA" w:rsidRPr="00D115FF" w:rsidRDefault="00E85DEA" w:rsidP="00D115FF">
      <w:pPr>
        <w:spacing w:after="0" w:line="240" w:lineRule="auto"/>
        <w:ind w:left="510" w:right="510" w:firstLine="284"/>
        <w:jc w:val="both"/>
        <w:rPr>
          <w:rFonts w:ascii="Times New Roman" w:eastAsia="Times New Roman" w:hAnsi="Times New Roman" w:cs="Times New Roman"/>
          <w:bCs/>
          <w:color w:val="000000"/>
          <w:sz w:val="20"/>
          <w:szCs w:val="20"/>
          <w:lang w:val="en-GB" w:eastAsia="en-GB"/>
        </w:rPr>
      </w:pPr>
      <w:r w:rsidRPr="00D115FF">
        <w:rPr>
          <w:rFonts w:ascii="Times New Roman" w:hAnsi="Times New Roman" w:cs="Times New Roman"/>
          <w:b/>
          <w:sz w:val="20"/>
          <w:szCs w:val="20"/>
          <w:lang w:val="en-GB"/>
        </w:rPr>
        <w:t xml:space="preserve">How to cite: </w:t>
      </w:r>
      <w:r w:rsidRPr="00D115FF">
        <w:rPr>
          <w:rFonts w:ascii="Times New Roman" w:hAnsi="Times New Roman" w:cs="Times New Roman"/>
          <w:sz w:val="20"/>
          <w:szCs w:val="20"/>
          <w:lang w:val="en-GB"/>
        </w:rPr>
        <w:t xml:space="preserve">AYO, F.O., ADEMOLA, A.O., &amp; </w:t>
      </w:r>
      <w:r w:rsidR="00D115FF" w:rsidRPr="00D115FF">
        <w:rPr>
          <w:rFonts w:ascii="Times New Roman" w:hAnsi="Times New Roman" w:cs="Times New Roman"/>
          <w:sz w:val="20"/>
          <w:szCs w:val="20"/>
          <w:lang w:val="en-GB"/>
        </w:rPr>
        <w:t>ADEOLU, F.O.</w:t>
      </w:r>
      <w:r w:rsidRPr="00D115FF">
        <w:rPr>
          <w:rFonts w:ascii="Times New Roman" w:hAnsi="Times New Roman" w:cs="Times New Roman"/>
          <w:sz w:val="20"/>
          <w:szCs w:val="20"/>
          <w:lang w:val="en-GB"/>
        </w:rPr>
        <w:t xml:space="preserve"> (2022). “</w:t>
      </w:r>
      <w:r w:rsidR="00D115FF" w:rsidRPr="00D115FF">
        <w:rPr>
          <w:rFonts w:ascii="Times New Roman" w:eastAsia="Times New Roman" w:hAnsi="Times New Roman" w:cs="Times New Roman"/>
          <w:bCs/>
          <w:color w:val="000000"/>
          <w:sz w:val="20"/>
          <w:szCs w:val="20"/>
          <w:lang w:val="en-GB" w:eastAsia="en-GB"/>
        </w:rPr>
        <w:t>Youth Economic Empowerment and Poverty Reduction in West Africa (Reference to the Amnesty Programme in the Niger Delta)</w:t>
      </w:r>
      <w:r w:rsidRPr="00D115FF">
        <w:rPr>
          <w:rFonts w:ascii="Times New Roman" w:hAnsi="Times New Roman" w:cs="Times New Roman"/>
          <w:sz w:val="20"/>
          <w:szCs w:val="20"/>
          <w:lang w:val="en-GB"/>
        </w:rPr>
        <w:t xml:space="preserve">.” </w:t>
      </w:r>
      <w:r w:rsidRPr="00D115FF">
        <w:rPr>
          <w:rFonts w:ascii="Times New Roman" w:hAnsi="Times New Roman" w:cs="Times New Roman"/>
          <w:i/>
          <w:sz w:val="20"/>
          <w:szCs w:val="20"/>
          <w:lang w:val="en-GB"/>
        </w:rPr>
        <w:t>Annals of Spiru Haret University. Economic Series, 22</w:t>
      </w:r>
      <w:r w:rsidRPr="00D115FF">
        <w:rPr>
          <w:rFonts w:ascii="Times New Roman" w:hAnsi="Times New Roman" w:cs="Times New Roman"/>
          <w:sz w:val="20"/>
          <w:szCs w:val="20"/>
          <w:lang w:val="en-GB"/>
        </w:rPr>
        <w:t xml:space="preserve">(1), </w:t>
      </w:r>
      <w:r w:rsidRPr="00D115FF">
        <w:rPr>
          <w:rFonts w:ascii="Times New Roman" w:hAnsi="Times New Roman" w:cs="Times New Roman"/>
          <w:sz w:val="20"/>
          <w:szCs w:val="20"/>
          <w:highlight w:val="yellow"/>
          <w:lang w:val="en-GB"/>
        </w:rPr>
        <w:t>???, doi: ???</w:t>
      </w:r>
    </w:p>
    <w:p w:rsidR="00E85DEA" w:rsidRPr="00D115FF" w:rsidRDefault="00E85DEA" w:rsidP="00D115FF">
      <w:pPr>
        <w:spacing w:after="0" w:line="240" w:lineRule="auto"/>
        <w:ind w:left="510" w:right="510" w:firstLine="284"/>
        <w:jc w:val="both"/>
        <w:rPr>
          <w:rFonts w:ascii="Times New Roman" w:eastAsia="Times New Roman" w:hAnsi="Times New Roman" w:cs="Times New Roman"/>
          <w:b/>
          <w:color w:val="000000"/>
          <w:sz w:val="20"/>
          <w:szCs w:val="20"/>
          <w:lang w:val="en-GB" w:eastAsia="en-GB"/>
        </w:rPr>
      </w:pPr>
    </w:p>
    <w:p w:rsidR="00CC292E" w:rsidRPr="00D115FF" w:rsidRDefault="00CC292E" w:rsidP="00D115FF">
      <w:pPr>
        <w:spacing w:after="0" w:line="240" w:lineRule="auto"/>
        <w:ind w:left="510" w:right="510" w:firstLine="284"/>
        <w:jc w:val="both"/>
        <w:rPr>
          <w:rFonts w:ascii="Times New Roman" w:eastAsia="Times New Roman" w:hAnsi="Times New Roman" w:cs="Times New Roman"/>
          <w:color w:val="000000"/>
          <w:sz w:val="20"/>
          <w:szCs w:val="20"/>
          <w:lang w:val="en-GB" w:eastAsia="en-GB"/>
        </w:rPr>
      </w:pPr>
      <w:r w:rsidRPr="00D115FF">
        <w:rPr>
          <w:rFonts w:ascii="Times New Roman" w:eastAsia="Times New Roman" w:hAnsi="Times New Roman" w:cs="Times New Roman"/>
          <w:b/>
          <w:color w:val="000000"/>
          <w:sz w:val="20"/>
          <w:szCs w:val="20"/>
          <w:lang w:val="en-GB" w:eastAsia="en-GB"/>
        </w:rPr>
        <w:t xml:space="preserve">Abstract </w:t>
      </w:r>
    </w:p>
    <w:p w:rsidR="00CC292E" w:rsidRPr="00D115FF" w:rsidRDefault="00CC292E" w:rsidP="00D115FF">
      <w:pPr>
        <w:spacing w:after="0" w:line="240" w:lineRule="auto"/>
        <w:ind w:left="510" w:right="510" w:firstLine="284"/>
        <w:jc w:val="both"/>
        <w:rPr>
          <w:rFonts w:ascii="Times New Roman" w:eastAsia="Times New Roman" w:hAnsi="Times New Roman" w:cs="Times New Roman"/>
          <w:i/>
          <w:iCs/>
          <w:color w:val="000000"/>
          <w:sz w:val="20"/>
          <w:szCs w:val="20"/>
          <w:lang w:val="en-GB" w:eastAsia="en-GB"/>
        </w:rPr>
      </w:pPr>
      <w:r w:rsidRPr="00D115FF">
        <w:rPr>
          <w:rFonts w:ascii="Times New Roman" w:eastAsia="Times New Roman" w:hAnsi="Times New Roman" w:cs="Times New Roman"/>
          <w:i/>
          <w:iCs/>
          <w:color w:val="000000"/>
          <w:sz w:val="20"/>
          <w:szCs w:val="20"/>
          <w:lang w:val="en-GB" w:eastAsia="en-GB"/>
        </w:rPr>
        <w:t xml:space="preserve">The growth of an economy needs to have a great impact on the citizens of that economy and thus help reduce poverty which is one of the main purposes of the millennium development goals. Nigeria has one of the largest populations in Africa and regarded as wealthy in terms of natural resources but with high levels of poverty. The government in their effort applied many policies in eradicating poverty through many empowerment programmes. This study attempts to examine if the empowerment programmes implemented by the government really helped in reducing poverty with focus on the youth who are the future of the economy. Focus was laid on the Amnesty Programme implemented to empower the youth in the Niger-Delta, highlighting the financial commitment of the programme and challenges encountered. The study uses the qualitative research approach which was exploratory and descriptive in nature with information leading to deduction of conclusions derived from journals, books and previous papers. It was realized that the Amnesty programme has helped to prevent the militant youths from their bad deeds and succeeded in equipping them with technical training in various fields of endevour. It was also concluded that there has been a lavish </w:t>
      </w:r>
      <w:r w:rsidRPr="00D115FF">
        <w:rPr>
          <w:rFonts w:ascii="Times New Roman" w:eastAsia="Times New Roman" w:hAnsi="Times New Roman" w:cs="Times New Roman"/>
          <w:i/>
          <w:iCs/>
          <w:color w:val="000000"/>
          <w:sz w:val="20"/>
          <w:szCs w:val="20"/>
          <w:lang w:val="en-GB" w:eastAsia="en-GB"/>
        </w:rPr>
        <w:lastRenderedPageBreak/>
        <w:t>expenditure on the programme but still encounter many challenges such as unpaid or irregular payment of allowances to beneficiaries, inappropriate training provision, and limited employment prospects and so on.  The challenges hinder the achievement of the expected goals and thus do not yield any effective result in reducing poverty. The study recommends that The Federal government should provide funds to the beneficiaries of the programme to establish their own businesses or provide them with job opportunities since unemployment of the graduates can push them back to the creek</w:t>
      </w:r>
      <w:r w:rsidR="00E85DEA" w:rsidRPr="00D115FF">
        <w:rPr>
          <w:rFonts w:ascii="Times New Roman" w:eastAsia="Times New Roman" w:hAnsi="Times New Roman" w:cs="Times New Roman"/>
          <w:i/>
          <w:iCs/>
          <w:color w:val="000000"/>
          <w:sz w:val="20"/>
          <w:szCs w:val="20"/>
          <w:lang w:val="en-GB" w:eastAsia="en-GB"/>
        </w:rPr>
        <w:t>.</w:t>
      </w:r>
    </w:p>
    <w:p w:rsidR="00E85DEA" w:rsidRPr="00D115FF" w:rsidRDefault="00E85DEA" w:rsidP="00D115FF">
      <w:pPr>
        <w:spacing w:after="0" w:line="240" w:lineRule="auto"/>
        <w:ind w:left="510" w:right="510" w:firstLine="284"/>
        <w:jc w:val="both"/>
        <w:rPr>
          <w:rFonts w:ascii="Times New Roman" w:eastAsia="Times New Roman" w:hAnsi="Times New Roman" w:cs="Times New Roman"/>
          <w:i/>
          <w:iCs/>
          <w:color w:val="000000"/>
          <w:sz w:val="20"/>
          <w:szCs w:val="20"/>
          <w:lang w:val="en-GB" w:eastAsia="en-GB"/>
        </w:rPr>
      </w:pPr>
    </w:p>
    <w:p w:rsidR="00E85DEA" w:rsidRPr="00D115FF" w:rsidRDefault="00E85DEA" w:rsidP="00D115FF">
      <w:pPr>
        <w:spacing w:after="0" w:line="240" w:lineRule="auto"/>
        <w:ind w:left="510" w:right="510" w:firstLine="284"/>
        <w:jc w:val="both"/>
        <w:rPr>
          <w:rFonts w:ascii="Times New Roman" w:eastAsia="Times New Roman" w:hAnsi="Times New Roman" w:cs="Times New Roman"/>
          <w:color w:val="000000"/>
          <w:sz w:val="20"/>
          <w:szCs w:val="20"/>
          <w:lang w:val="en-GB" w:eastAsia="en-GB"/>
        </w:rPr>
      </w:pPr>
      <w:r w:rsidRPr="00D115FF">
        <w:rPr>
          <w:rFonts w:ascii="Times New Roman" w:eastAsia="Times New Roman" w:hAnsi="Times New Roman" w:cs="Times New Roman"/>
          <w:b/>
          <w:bCs/>
          <w:color w:val="000000"/>
          <w:sz w:val="20"/>
          <w:szCs w:val="20"/>
          <w:lang w:val="en-GB" w:eastAsia="en-GB"/>
        </w:rPr>
        <w:t>Keywords:</w:t>
      </w:r>
      <w:r w:rsidRPr="00D115FF">
        <w:rPr>
          <w:rFonts w:ascii="Times New Roman" w:eastAsia="Times New Roman" w:hAnsi="Times New Roman" w:cs="Times New Roman"/>
          <w:color w:val="000000"/>
          <w:sz w:val="20"/>
          <w:szCs w:val="20"/>
          <w:lang w:val="en-GB" w:eastAsia="en-GB"/>
        </w:rPr>
        <w:t xml:space="preserve"> </w:t>
      </w:r>
      <w:r w:rsidR="0066677A">
        <w:rPr>
          <w:rFonts w:ascii="Times New Roman" w:eastAsia="Times New Roman" w:hAnsi="Times New Roman" w:cs="Times New Roman"/>
          <w:color w:val="000000"/>
          <w:sz w:val="20"/>
          <w:szCs w:val="20"/>
          <w:lang w:val="en-GB" w:eastAsia="en-GB"/>
        </w:rPr>
        <w:t>youth economic empowerment, poverty reduction, West Africa, Niger Delta</w:t>
      </w:r>
    </w:p>
    <w:p w:rsidR="00E85DEA" w:rsidRPr="00D115FF" w:rsidRDefault="00E85DEA" w:rsidP="00D115FF">
      <w:pPr>
        <w:spacing w:after="0" w:line="240" w:lineRule="auto"/>
        <w:ind w:left="510" w:right="510" w:firstLine="284"/>
        <w:jc w:val="both"/>
        <w:rPr>
          <w:rFonts w:ascii="Times New Roman" w:eastAsia="Times New Roman" w:hAnsi="Times New Roman" w:cs="Times New Roman"/>
          <w:color w:val="000000"/>
          <w:sz w:val="20"/>
          <w:szCs w:val="20"/>
          <w:lang w:val="en-GB" w:eastAsia="en-GB"/>
        </w:rPr>
      </w:pPr>
    </w:p>
    <w:p w:rsidR="00E85DEA" w:rsidRPr="00D115FF" w:rsidRDefault="00E85DEA" w:rsidP="00D115FF">
      <w:pPr>
        <w:spacing w:after="0" w:line="240" w:lineRule="auto"/>
        <w:ind w:left="510" w:right="510" w:firstLine="284"/>
        <w:jc w:val="both"/>
        <w:rPr>
          <w:rFonts w:ascii="Times New Roman" w:eastAsia="Times New Roman" w:hAnsi="Times New Roman" w:cs="Times New Roman"/>
          <w:color w:val="000000"/>
          <w:sz w:val="20"/>
          <w:szCs w:val="20"/>
          <w:lang w:val="en-GB" w:eastAsia="en-GB"/>
        </w:rPr>
      </w:pPr>
      <w:r w:rsidRPr="00D115FF">
        <w:rPr>
          <w:rFonts w:ascii="Times New Roman" w:eastAsia="Times New Roman" w:hAnsi="Times New Roman" w:cs="Times New Roman"/>
          <w:b/>
          <w:bCs/>
          <w:color w:val="000000"/>
          <w:sz w:val="20"/>
          <w:szCs w:val="20"/>
          <w:lang w:val="en-GB" w:eastAsia="en-GB"/>
        </w:rPr>
        <w:t>JEL Classification:</w:t>
      </w:r>
      <w:r w:rsidRPr="00D115FF">
        <w:rPr>
          <w:rFonts w:ascii="Times New Roman" w:eastAsia="Times New Roman" w:hAnsi="Times New Roman" w:cs="Times New Roman"/>
          <w:color w:val="000000"/>
          <w:sz w:val="20"/>
          <w:szCs w:val="20"/>
          <w:lang w:val="en-GB" w:eastAsia="en-GB"/>
        </w:rPr>
        <w:t xml:space="preserve"> </w:t>
      </w:r>
      <w:r w:rsidR="0066677A">
        <w:rPr>
          <w:rFonts w:ascii="Times New Roman" w:eastAsia="Times New Roman" w:hAnsi="Times New Roman" w:cs="Times New Roman"/>
          <w:color w:val="000000"/>
          <w:sz w:val="20"/>
          <w:szCs w:val="20"/>
          <w:lang w:val="en-GB" w:eastAsia="en-GB"/>
        </w:rPr>
        <w:t>I25, I32</w:t>
      </w:r>
    </w:p>
    <w:p w:rsidR="00E85DEA" w:rsidRPr="00E85DEA" w:rsidRDefault="00E85DEA" w:rsidP="00CC292E">
      <w:pPr>
        <w:spacing w:after="0" w:line="240" w:lineRule="auto"/>
        <w:ind w:firstLine="284"/>
        <w:jc w:val="both"/>
        <w:rPr>
          <w:rFonts w:ascii="Times New Roman" w:eastAsia="Times New Roman" w:hAnsi="Times New Roman" w:cs="Times New Roman"/>
          <w:i/>
          <w:iCs/>
          <w:color w:val="000000"/>
          <w:sz w:val="24"/>
          <w:szCs w:val="24"/>
          <w:lang w:val="en-GB" w:eastAsia="en-GB"/>
        </w:rPr>
      </w:pPr>
    </w:p>
    <w:p w:rsidR="00E85DEA" w:rsidRPr="00E85DEA" w:rsidRDefault="00E85DEA" w:rsidP="00CC292E">
      <w:pPr>
        <w:spacing w:after="0" w:line="240" w:lineRule="auto"/>
        <w:ind w:firstLine="284"/>
        <w:jc w:val="both"/>
        <w:rPr>
          <w:rFonts w:ascii="Times New Roman" w:eastAsia="Times New Roman" w:hAnsi="Times New Roman" w:cs="Times New Roman"/>
          <w:i/>
          <w:iCs/>
          <w:color w:val="000000"/>
          <w:sz w:val="24"/>
          <w:szCs w:val="24"/>
          <w:lang w:val="en-GB" w:eastAsia="en-GB"/>
        </w:rPr>
      </w:pPr>
    </w:p>
    <w:p w:rsidR="00CC292E" w:rsidRPr="00CC292E" w:rsidRDefault="00CC292E" w:rsidP="00CC292E">
      <w:pPr>
        <w:spacing w:after="0" w:line="240" w:lineRule="auto"/>
        <w:ind w:firstLine="284"/>
        <w:jc w:val="both"/>
        <w:rPr>
          <w:rFonts w:ascii="Times New Roman" w:eastAsia="Times New Roman" w:hAnsi="Times New Roman" w:cs="Times New Roman"/>
          <w:b/>
          <w:bCs/>
          <w:color w:val="000000"/>
          <w:lang w:val="en-GB" w:eastAsia="en-GB"/>
        </w:rPr>
      </w:pPr>
      <w:r w:rsidRPr="00CC292E">
        <w:rPr>
          <w:rFonts w:ascii="Times New Roman" w:eastAsia="Times New Roman" w:hAnsi="Times New Roman" w:cs="Times New Roman"/>
          <w:b/>
          <w:bCs/>
          <w:color w:val="000000"/>
          <w:lang w:val="en-GB" w:eastAsia="en-GB"/>
        </w:rPr>
        <w:t>Introduction</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Economic growth needs to have a greater impact on poverty reduction if the Millennium    Development Goals (MDGs) are to be met and the effects of the multiple global crises overcome. Poverty connotes a condition of human deprivation or denial with respect to the basic necessities of life: food, shelter, and clothing. It is a symptom of embedded structural imbalance, which manifests in all domains of human existence (Hamdok, 1999). The author also believes that poverty is highly correlated with social exclusion, marginalization, vulnerability, powerlessness, isolation, and deprivation. In Nigeria, the pandemic of poverty is under-grinded by multifarious manifestations and dimensions. A major trajectory of some of these manifestations according to Afigbo (1989) and Mashi (2009) are economic dependence, individual or family inability to provide for the basic needs of life, occasional or permanent joblessness, lack of individual or collective freedom, over-indebtedness, inability to own assets or save,  access to land and credit facilities and vulnerability to food insecurity etc.  From UNDP (2004), causes of poverty in Nigeria is associated with poor governance, corruption, lack of accountability in management of public affairs, gross violation of human rights, nepotism and skewed income distribution, poor infrastructure and impaired access to productive and financial assets especially by women and the vulnerable groups.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In response to the pervasiveness of poverty in the country, the Nigerian government  over the last four decades have introduced several programmes, some of which were sector specific and others non-sector specific, with poverty reduction as its centre-piece. Additionally, several poverty reduction approaches have also been utilized in attempt to grapple with the beleaguered poverty situation of the country’s citizens. Some of these bothers on economic growth approach, the basic needs approach, the rural development approach and the target group approach and a whole lot of others (Ogwumike, 2005). The problem of poverty is seemed to be often linked strongly with the issues of unemployment.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Unemployment is one of the major challenges faced by young Nigerians.  In 2006, the National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Census reported the country’s total population to be constituted by about 60% young people and children under the age of 25. According to the 2007 General Household Survey Report, the unemployment rate for youth aged between 15 and 24 was 30.7%. Further, 23 million out of 40 million unemployed youth are considered to be unemployable. This staggering statistic is often attributed to a weakening educational system including out-dated curricula, insufficient resources in schools and training institutions, and a lack of focus on training the youth in certain skills that are required by employers such as communication, leadership, and problem solving, as well as the ability to take initiative and professionalism. In 2008, the inactivity rate for youth aged 15 to 24 was 69.8% and 32.6% for youth aged 25 to 34.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The more disturbing fact is that rather than decrease, these problems have become increasingly complex and intractable in the last decade. The general out look of the country is reflected in the situation of the youth. According to the National Policy, Nigeria, youth comprises the age group between 15 and 35 inclusive and in the last population census constitute the largest proportion of the country’s population; some of which are not educated whiles others are jobless. One might imagine what would happen to the future of the country if the main constituents of its population are facing economic hardship. These have also led many of the youths of the country to standout in a struggle to benefit from the oil wealth of the economy which is largely situated at the Niger Delta state of Nigeria. The youth thus formed militant groups that often-orchestrated violence in the industry and the country as a whole which effects oil production and other trade activities of individuals. </w:t>
      </w:r>
    </w:p>
    <w:p w:rsid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The federal government in its efforts tries to calm the situation by instituting the Amnesty Programme aimed at empowering the youth to give end to their actions and thus establish peace. It is therefore the desire of the study to examine how far the government has come with this empowerment programme and how best the programme has helped in economic improvement and hence reducing poverty in the country. </w:t>
      </w:r>
    </w:p>
    <w:p w:rsidR="00D115FF" w:rsidRPr="00CC292E" w:rsidRDefault="00D115FF" w:rsidP="00CC292E">
      <w:pPr>
        <w:spacing w:after="0" w:line="240" w:lineRule="auto"/>
        <w:ind w:firstLine="284"/>
        <w:jc w:val="both"/>
        <w:rPr>
          <w:rFonts w:ascii="Times New Roman" w:eastAsia="Times New Roman" w:hAnsi="Times New Roman" w:cs="Times New Roman"/>
          <w:color w:val="000000"/>
          <w:lang w:val="en-GB" w:eastAsia="en-GB"/>
        </w:rPr>
      </w:pPr>
    </w:p>
    <w:p w:rsidR="00CC292E" w:rsidRPr="00CC292E" w:rsidRDefault="00CC292E" w:rsidP="00CC292E">
      <w:pPr>
        <w:keepNext/>
        <w:keepLines/>
        <w:spacing w:after="0" w:line="240" w:lineRule="auto"/>
        <w:ind w:firstLine="284"/>
        <w:outlineLvl w:val="0"/>
        <w:rPr>
          <w:rFonts w:ascii="Times New Roman" w:eastAsia="Times New Roman" w:hAnsi="Times New Roman" w:cs="Times New Roman"/>
          <w:b/>
          <w:color w:val="000000"/>
          <w:lang w:val="en-GB" w:eastAsia="en-GB"/>
        </w:rPr>
      </w:pPr>
      <w:bookmarkStart w:id="1" w:name="_Toc97233570"/>
      <w:r w:rsidRPr="00CC292E">
        <w:rPr>
          <w:rFonts w:ascii="Times New Roman" w:eastAsia="Times New Roman" w:hAnsi="Times New Roman" w:cs="Times New Roman"/>
          <w:b/>
          <w:color w:val="000000"/>
          <w:lang w:val="en-GB" w:eastAsia="en-GB"/>
        </w:rPr>
        <w:t>1.3 Objectives of the Study</w:t>
      </w:r>
      <w:bookmarkEnd w:id="1"/>
      <w:r w:rsidRPr="00CC292E">
        <w:rPr>
          <w:rFonts w:ascii="Times New Roman" w:eastAsia="Times New Roman" w:hAnsi="Times New Roman" w:cs="Times New Roman"/>
          <w:b/>
          <w:color w:val="000000"/>
          <w:lang w:val="en-GB" w:eastAsia="en-GB"/>
        </w:rPr>
        <w:t xml:space="preserve"> </w:t>
      </w:r>
    </w:p>
    <w:p w:rsidR="00CC292E" w:rsidRPr="00CC292E" w:rsidRDefault="00CC292E" w:rsidP="00D115FF">
      <w:pPr>
        <w:numPr>
          <w:ilvl w:val="0"/>
          <w:numId w:val="13"/>
        </w:numPr>
        <w:tabs>
          <w:tab w:val="left" w:pos="567"/>
        </w:tabs>
        <w:suppressAutoHyphens w:val="0"/>
        <w:spacing w:after="0" w:line="240" w:lineRule="auto"/>
        <w:ind w:left="0"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To examine the impact of economic youth empowerment (Amnesty Programme) on poverty reduction. </w:t>
      </w:r>
    </w:p>
    <w:p w:rsidR="00CC292E" w:rsidRPr="00CC292E" w:rsidRDefault="00CC292E" w:rsidP="00D115FF">
      <w:pPr>
        <w:numPr>
          <w:ilvl w:val="0"/>
          <w:numId w:val="13"/>
        </w:numPr>
        <w:tabs>
          <w:tab w:val="left" w:pos="567"/>
        </w:tabs>
        <w:suppressAutoHyphens w:val="0"/>
        <w:spacing w:after="0" w:line="240" w:lineRule="auto"/>
        <w:ind w:left="0"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To determine the extent to which the Amnesty Programme has addressed the Niger-Delta conflict and highlight the financial commitment of the federal government to the programme. </w:t>
      </w:r>
    </w:p>
    <w:p w:rsidR="00CC292E" w:rsidRDefault="00CC292E" w:rsidP="00D115FF">
      <w:pPr>
        <w:numPr>
          <w:ilvl w:val="0"/>
          <w:numId w:val="13"/>
        </w:numPr>
        <w:tabs>
          <w:tab w:val="left" w:pos="567"/>
        </w:tabs>
        <w:suppressAutoHyphens w:val="0"/>
        <w:spacing w:after="0" w:line="240" w:lineRule="auto"/>
        <w:ind w:left="0"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Identify the challenges and critique of the Amnesty youth economic empowerment  programme and come up with some possible solutions  </w:t>
      </w:r>
    </w:p>
    <w:p w:rsidR="00D115FF" w:rsidRPr="00CC292E" w:rsidRDefault="00D115FF" w:rsidP="00D115FF">
      <w:pPr>
        <w:numPr>
          <w:ilvl w:val="0"/>
          <w:numId w:val="13"/>
        </w:numPr>
        <w:tabs>
          <w:tab w:val="left" w:pos="567"/>
        </w:tabs>
        <w:suppressAutoHyphens w:val="0"/>
        <w:spacing w:after="0" w:line="240" w:lineRule="auto"/>
        <w:ind w:left="0" w:firstLine="284"/>
        <w:jc w:val="both"/>
        <w:rPr>
          <w:rFonts w:ascii="Times New Roman" w:eastAsia="Times New Roman" w:hAnsi="Times New Roman" w:cs="Times New Roman"/>
          <w:color w:val="000000"/>
          <w:lang w:val="en-GB" w:eastAsia="en-GB"/>
        </w:rPr>
      </w:pPr>
    </w:p>
    <w:p w:rsidR="00CC292E" w:rsidRPr="00CC292E" w:rsidRDefault="00CC292E" w:rsidP="00CC292E">
      <w:pPr>
        <w:keepNext/>
        <w:keepLines/>
        <w:spacing w:after="0" w:line="240" w:lineRule="auto"/>
        <w:ind w:firstLine="284"/>
        <w:outlineLvl w:val="0"/>
        <w:rPr>
          <w:rFonts w:ascii="Times New Roman" w:eastAsia="Times New Roman" w:hAnsi="Times New Roman" w:cs="Times New Roman"/>
          <w:b/>
          <w:color w:val="000000"/>
          <w:lang w:val="en-GB" w:eastAsia="en-GB"/>
        </w:rPr>
      </w:pPr>
      <w:bookmarkStart w:id="2" w:name="_Toc97233577"/>
      <w:r w:rsidRPr="00CC292E">
        <w:rPr>
          <w:rFonts w:ascii="Times New Roman" w:eastAsia="Times New Roman" w:hAnsi="Times New Roman" w:cs="Times New Roman"/>
          <w:b/>
          <w:color w:val="000000"/>
          <w:lang w:val="en-GB" w:eastAsia="en-GB"/>
        </w:rPr>
        <w:t>LITERATURE REVIEW</w:t>
      </w:r>
      <w:bookmarkEnd w:id="2"/>
      <w:r w:rsidRPr="00CC292E">
        <w:rPr>
          <w:rFonts w:ascii="Times New Roman" w:eastAsia="Times New Roman" w:hAnsi="Times New Roman" w:cs="Times New Roman"/>
          <w:b/>
          <w:color w:val="000000"/>
          <w:lang w:val="en-GB" w:eastAsia="en-GB"/>
        </w:rPr>
        <w:t xml:space="preserve"> </w:t>
      </w:r>
    </w:p>
    <w:p w:rsidR="00CC292E" w:rsidRPr="00CC292E" w:rsidRDefault="00CC292E" w:rsidP="00CC292E">
      <w:pPr>
        <w:keepNext/>
        <w:keepLines/>
        <w:spacing w:after="0" w:line="240" w:lineRule="auto"/>
        <w:ind w:firstLine="284"/>
        <w:outlineLvl w:val="0"/>
        <w:rPr>
          <w:rFonts w:ascii="Times New Roman" w:eastAsia="Times New Roman" w:hAnsi="Times New Roman" w:cs="Times New Roman"/>
          <w:b/>
          <w:color w:val="000000"/>
          <w:lang w:val="en-GB" w:eastAsia="en-GB"/>
        </w:rPr>
      </w:pPr>
      <w:bookmarkStart w:id="3" w:name="_Toc97233579"/>
      <w:r w:rsidRPr="00CC292E">
        <w:rPr>
          <w:rFonts w:ascii="Times New Roman" w:eastAsia="Times New Roman" w:hAnsi="Times New Roman" w:cs="Times New Roman"/>
          <w:b/>
          <w:color w:val="000000"/>
          <w:lang w:val="en-GB" w:eastAsia="en-GB"/>
        </w:rPr>
        <w:t>2.1 Economic Empowerment</w:t>
      </w:r>
      <w:bookmarkEnd w:id="3"/>
      <w:r w:rsidRPr="00CC292E">
        <w:rPr>
          <w:rFonts w:ascii="Times New Roman" w:eastAsia="Times New Roman" w:hAnsi="Times New Roman" w:cs="Times New Roman"/>
          <w:b/>
          <w:color w:val="000000"/>
          <w:lang w:val="en-GB" w:eastAsia="en-GB"/>
        </w:rPr>
        <w:t xml:space="preserve"> </w:t>
      </w:r>
    </w:p>
    <w:p w:rsid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Economic empowerment is the capacity of individuals to exercise control over their livelihoods through their ability to make choices on what productive activities to engage and invest in, to decide how and when to engage in markets and to influence the terms on which they do so. Governments and development partners can play an important role in helping strengthen economic empowerment. They can do this through economic and social infrastructure investments and regulatory measures for decent work (paid and unpaid) through cash transfers and other social protection measures; through policies and programmes for people in poverty to gain access to and control assets, both individual and collective; and through making markets work for people in poverty. Economic youth empowerment can therefore be referred to as </w:t>
      </w:r>
      <w:r w:rsidR="00D115FF" w:rsidRPr="00CC292E">
        <w:rPr>
          <w:rFonts w:ascii="Times New Roman" w:eastAsia="Times New Roman" w:hAnsi="Times New Roman" w:cs="Times New Roman"/>
          <w:color w:val="000000"/>
          <w:lang w:val="en-GB" w:eastAsia="en-GB"/>
        </w:rPr>
        <w:t>a</w:t>
      </w:r>
      <w:r w:rsidRPr="00CC292E">
        <w:rPr>
          <w:rFonts w:ascii="Times New Roman" w:eastAsia="Times New Roman" w:hAnsi="Times New Roman" w:cs="Times New Roman"/>
          <w:color w:val="000000"/>
          <w:lang w:val="en-GB" w:eastAsia="en-GB"/>
        </w:rPr>
        <w:t xml:space="preserve"> way of equipping the youth through many economic policies and programmes to provide for themselves and thus reducing youth unemployment and social vices inducing a reduction in poverty. </w:t>
      </w:r>
    </w:p>
    <w:p w:rsidR="00D115FF" w:rsidRPr="00CC292E" w:rsidRDefault="00D115FF" w:rsidP="00CC292E">
      <w:pPr>
        <w:spacing w:after="0" w:line="240" w:lineRule="auto"/>
        <w:ind w:firstLine="284"/>
        <w:jc w:val="both"/>
        <w:rPr>
          <w:rFonts w:ascii="Times New Roman" w:eastAsia="Times New Roman" w:hAnsi="Times New Roman" w:cs="Times New Roman"/>
          <w:color w:val="000000"/>
          <w:lang w:val="en-GB" w:eastAsia="en-GB"/>
        </w:rPr>
      </w:pPr>
    </w:p>
    <w:p w:rsidR="00CC292E" w:rsidRPr="00CC292E" w:rsidRDefault="00CC292E" w:rsidP="00CC292E">
      <w:pPr>
        <w:keepNext/>
        <w:keepLines/>
        <w:spacing w:after="0" w:line="240" w:lineRule="auto"/>
        <w:ind w:firstLine="284"/>
        <w:outlineLvl w:val="0"/>
        <w:rPr>
          <w:rFonts w:ascii="Times New Roman" w:eastAsia="Times New Roman" w:hAnsi="Times New Roman" w:cs="Times New Roman"/>
          <w:b/>
          <w:color w:val="000000"/>
          <w:lang w:val="en-GB" w:eastAsia="en-GB"/>
        </w:rPr>
      </w:pPr>
      <w:bookmarkStart w:id="4" w:name="_Toc97233580"/>
      <w:r w:rsidRPr="00CC292E">
        <w:rPr>
          <w:rFonts w:ascii="Times New Roman" w:eastAsia="Times New Roman" w:hAnsi="Times New Roman" w:cs="Times New Roman"/>
          <w:b/>
          <w:color w:val="000000"/>
          <w:lang w:val="en-GB" w:eastAsia="en-GB"/>
        </w:rPr>
        <w:t>2.2 Conceptual Issues of Poverty</w:t>
      </w:r>
      <w:bookmarkEnd w:id="4"/>
      <w:r w:rsidRPr="00CC292E">
        <w:rPr>
          <w:rFonts w:ascii="Times New Roman" w:eastAsia="Times New Roman" w:hAnsi="Times New Roman" w:cs="Times New Roman"/>
          <w:b/>
          <w:color w:val="000000"/>
          <w:lang w:val="en-GB" w:eastAsia="en-GB"/>
        </w:rPr>
        <w:t xml:space="preserve">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There is no externally fixed poverty standard applicable to all social circumstances. This means that one can hardly find an unambiguous and a universally acceptable definition of poverty.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Because the phenomenon is situational, one can only meaningfully explain it in the context of the historical setting and prevailing circumstances of a particular society. And because poverty is multidimensional in meaning, magnitude and scale, we can also understand it from economic and sociopsychological dimensions. From the economic perspective, poverty can be viewed as a situation of low income and/or low consumption. This approach has often been used for constructing poverty – line; line which represents the values of income or consumption necessary to purchase the minimum standard of nutrition and other necessities of life (Obadan, 1997). Going by this definition, people are said to be poor when their measured standard of living, calculated in terms of their incomes or their consumption patterns, fall below the poverty - line. The poverty - line, according to Adams (2004) is an imaginary index that is used to separate the poor - those who cannot afford the basic necessities of life from the non-poor - those who can afford the basic needs of life such adequate healthcare, good nutrition, education, etc. From a socio-psychological perspective, poverty is seen in terms of deprivation, lack of access to property such as land, inadequate medical facilities, poor living conditions, lack of access to educational facilities, and the inability to realize one’s potentials and aspirations. Thus, people here are classified as poor if they cannot afford the basic needs of life; are not employed, dwell in poor living conditions, are illiterate, are lacking in adequate healthcare and social amenities that can give them decent living. </w:t>
      </w:r>
    </w:p>
    <w:p w:rsidR="00CC292E" w:rsidRPr="00CC292E" w:rsidRDefault="00CC292E" w:rsidP="00CC292E">
      <w:pPr>
        <w:keepNext/>
        <w:keepLines/>
        <w:spacing w:after="0" w:line="240" w:lineRule="auto"/>
        <w:ind w:firstLine="284"/>
        <w:outlineLvl w:val="0"/>
        <w:rPr>
          <w:rFonts w:ascii="Times New Roman" w:eastAsia="Times New Roman" w:hAnsi="Times New Roman" w:cs="Times New Roman"/>
          <w:b/>
          <w:color w:val="000000"/>
          <w:lang w:val="en-GB" w:eastAsia="en-GB"/>
        </w:rPr>
      </w:pPr>
      <w:bookmarkStart w:id="5" w:name="_Toc97233581"/>
      <w:r w:rsidRPr="00CC292E">
        <w:rPr>
          <w:rFonts w:ascii="Times New Roman" w:eastAsia="Times New Roman" w:hAnsi="Times New Roman" w:cs="Times New Roman"/>
          <w:b/>
          <w:color w:val="000000"/>
          <w:lang w:val="en-GB" w:eastAsia="en-GB"/>
        </w:rPr>
        <w:t xml:space="preserve"> </w:t>
      </w:r>
      <w:bookmarkEnd w:id="5"/>
    </w:p>
    <w:p w:rsidR="00CC292E" w:rsidRPr="00CC292E" w:rsidRDefault="00CC292E" w:rsidP="00CC292E">
      <w:pPr>
        <w:keepNext/>
        <w:keepLines/>
        <w:spacing w:after="0" w:line="240" w:lineRule="auto"/>
        <w:ind w:firstLine="284"/>
        <w:outlineLvl w:val="0"/>
        <w:rPr>
          <w:rFonts w:ascii="Times New Roman" w:eastAsia="Times New Roman" w:hAnsi="Times New Roman" w:cs="Times New Roman"/>
          <w:b/>
          <w:color w:val="000000"/>
          <w:lang w:val="en-GB" w:eastAsia="en-GB"/>
        </w:rPr>
      </w:pPr>
      <w:bookmarkStart w:id="6" w:name="_Toc97233582"/>
      <w:r w:rsidRPr="00CC292E">
        <w:rPr>
          <w:rFonts w:ascii="Times New Roman" w:eastAsia="Times New Roman" w:hAnsi="Times New Roman" w:cs="Times New Roman"/>
          <w:b/>
          <w:color w:val="000000"/>
          <w:lang w:val="en-GB" w:eastAsia="en-GB"/>
        </w:rPr>
        <w:t>2.4 The Concept of the Amnesty Progamme in Nigeria</w:t>
      </w:r>
      <w:bookmarkEnd w:id="6"/>
      <w:r w:rsidRPr="00CC292E">
        <w:rPr>
          <w:rFonts w:ascii="Times New Roman" w:eastAsia="Times New Roman" w:hAnsi="Times New Roman" w:cs="Times New Roman"/>
          <w:b/>
          <w:color w:val="000000"/>
          <w:lang w:val="en-GB" w:eastAsia="en-GB"/>
        </w:rPr>
        <w:t xml:space="preserve">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Armed groups, many affiliated to the Niger Delta-wide political organization MEND, the Movement for the Emancipation of the Niger Delta, proliferated throughout the oil producing states, particularly from early 2006 onwards. In January 2006, MEND declared war on the oil industry pending the resolution of long term political grievances relating to poverty and underdevelopment, the poor regulation of an environmentally polluting oil industry, and the alienation of local people from rights to land and resources in the Niger Delta. Attacks on oil industry infrastructure, the kidnapping of expatriate oil company personnel and the illicit tapping and sale of crude oil became stocks in trade of armed militia, many with political as well as pecuniary objectives. Their actions significantly dented the Nigerian government revenue base, which relies on oil and gas sales for some 90 percent of its foreign exchange earnings. Some estimates point to losses of 100 billion dollars to the Nigerian treasury between 2003and 2008 as a result of conflicts. By April 2009, crude oil exports had fallen to 1.6 million barrels per day (bpd) in March 2009, down from 2.6 million in 2006, in April 2009 the idea of an amnesty for armed </w:t>
      </w:r>
    </w:p>
    <w:p w:rsid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‘militants’ was first mooted by the late Nigerian President Umaru Musa Yar’Adua in power since May 2007, but met with a less than positive response from most militant quarters. It was followed up in May 2009 by a full scale aerial military bombardment of Gbaramatu and Escravos in Delta state, a key militant stronghold and close to offloading platforms of Shell and Chevron. The attack left up to 1,000 people dead, most of them ordinary civilians and many more injured or rendered refugees. </w:t>
      </w:r>
      <w:bookmarkStart w:id="7" w:name="_Toc97233583"/>
    </w:p>
    <w:p w:rsidR="00D115FF" w:rsidRPr="00CC292E" w:rsidRDefault="00D115FF" w:rsidP="00CC292E">
      <w:pPr>
        <w:spacing w:after="0" w:line="240" w:lineRule="auto"/>
        <w:ind w:firstLine="284"/>
        <w:jc w:val="both"/>
        <w:rPr>
          <w:rFonts w:ascii="Times New Roman" w:eastAsia="Times New Roman" w:hAnsi="Times New Roman" w:cs="Times New Roman"/>
          <w:color w:val="000000"/>
          <w:lang w:val="en-GB" w:eastAsia="en-GB"/>
        </w:rPr>
      </w:pPr>
    </w:p>
    <w:p w:rsidR="00CC292E" w:rsidRPr="00CC292E" w:rsidRDefault="00CC292E" w:rsidP="00CC292E">
      <w:pPr>
        <w:keepNext/>
        <w:keepLines/>
        <w:spacing w:after="0" w:line="240" w:lineRule="auto"/>
        <w:ind w:firstLine="284"/>
        <w:outlineLvl w:val="1"/>
        <w:rPr>
          <w:rFonts w:ascii="Times New Roman" w:eastAsia="Times New Roman" w:hAnsi="Times New Roman" w:cs="Times New Roman"/>
          <w:b/>
          <w:color w:val="000000"/>
          <w:lang w:val="en-GB" w:eastAsia="en-GB"/>
        </w:rPr>
      </w:pPr>
      <w:r w:rsidRPr="00CC292E">
        <w:rPr>
          <w:rFonts w:ascii="Times New Roman" w:eastAsia="Times New Roman" w:hAnsi="Times New Roman" w:cs="Times New Roman"/>
          <w:b/>
          <w:color w:val="000000"/>
          <w:lang w:val="en-GB" w:eastAsia="en-GB"/>
        </w:rPr>
        <w:t>The Background of Amnesty</w:t>
      </w:r>
      <w:bookmarkEnd w:id="7"/>
      <w:r w:rsidRPr="00CC292E">
        <w:rPr>
          <w:rFonts w:ascii="Times New Roman" w:eastAsia="Times New Roman" w:hAnsi="Times New Roman" w:cs="Times New Roman"/>
          <w:b/>
          <w:color w:val="000000"/>
          <w:lang w:val="en-GB" w:eastAsia="en-GB"/>
        </w:rPr>
        <w:t xml:space="preserve">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Neutralizing the nuisance capacity of MEND and its many affiliates, by paying them off, was the principal target of the amnesty deal. The dramatic emergence of MEND in 2005 had changed the character, cohesion and effectiveness of what had been a fragmented set of armed attacks on the oil industry. MEND-an organization with its main support drawn from the Ijaw ethnic group provided the possibility for greater horizontal cohesion. This was done across the variety of affiliated youth militia groups and secret cults / gangs, operating throughout towns and villages in the oil producing states of the Niger Delta, with a multitude of aims and ambitions, since the late </w:t>
      </w:r>
    </w:p>
    <w:p w:rsid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1990s. Whilst initially explicitly political in orientation (MEND’s first statements called for the release of two high profile Ijaw political figures, imprisoned towards the end of 2005, the former governor of Bayelsa State, Diepreye Alamieyeseigha and Alhaji Asari Dokubo, the former militant leader of the Niger Delta People’s Volunteer Force/Service), many of its affiliates and what became known as simply ‘militants’ or ‘warlords’ were less so. The scaling up in the efficacy of Delta wide militancy since 2006 was also facilitated by the dramatic expansion and accessibility of mobile telephony over inhospitable terrain, facilitated greater coordination amongst increasingly better funded and highly mobilized groups. The federated nature of MEND, whilst a source of strength, also meant the absence of a high command structure leaving it open to fragmentation and making negotiations difficult with the potential of exclusion of some and inclusion others.  </w:t>
      </w:r>
    </w:p>
    <w:p w:rsidR="00D115FF" w:rsidRPr="00CC292E" w:rsidRDefault="00D115FF" w:rsidP="00CC292E">
      <w:pPr>
        <w:spacing w:after="0" w:line="240" w:lineRule="auto"/>
        <w:ind w:firstLine="284"/>
        <w:jc w:val="both"/>
        <w:rPr>
          <w:rFonts w:ascii="Times New Roman" w:eastAsia="Times New Roman" w:hAnsi="Times New Roman" w:cs="Times New Roman"/>
          <w:color w:val="000000"/>
          <w:lang w:val="en-GB" w:eastAsia="en-GB"/>
        </w:rPr>
      </w:pPr>
    </w:p>
    <w:p w:rsidR="00CC292E" w:rsidRPr="00CC292E" w:rsidRDefault="00CC292E" w:rsidP="00CC292E">
      <w:pPr>
        <w:keepNext/>
        <w:keepLines/>
        <w:spacing w:after="0" w:line="240" w:lineRule="auto"/>
        <w:ind w:firstLine="284"/>
        <w:outlineLvl w:val="1"/>
        <w:rPr>
          <w:rFonts w:ascii="Times New Roman" w:eastAsia="Times New Roman" w:hAnsi="Times New Roman" w:cs="Times New Roman"/>
          <w:b/>
          <w:color w:val="000000"/>
          <w:lang w:val="en-GB" w:eastAsia="en-GB"/>
        </w:rPr>
      </w:pPr>
      <w:bookmarkStart w:id="8" w:name="_Toc97233584"/>
      <w:r w:rsidRPr="00CC292E">
        <w:rPr>
          <w:rFonts w:ascii="Times New Roman" w:eastAsia="Times New Roman" w:hAnsi="Times New Roman" w:cs="Times New Roman"/>
          <w:b/>
          <w:color w:val="000000"/>
          <w:lang w:val="en-GB" w:eastAsia="en-GB"/>
        </w:rPr>
        <w:t>2.4.2 What the Amnesty Programme Entails</w:t>
      </w:r>
      <w:bookmarkEnd w:id="8"/>
      <w:r w:rsidRPr="00CC292E">
        <w:rPr>
          <w:rFonts w:ascii="Times New Roman" w:eastAsia="Times New Roman" w:hAnsi="Times New Roman" w:cs="Times New Roman"/>
          <w:b/>
          <w:color w:val="000000"/>
          <w:lang w:val="en-GB" w:eastAsia="en-GB"/>
        </w:rPr>
        <w:t xml:space="preserve">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In July 2009, a budget of N50-52 billion ($145 million), later N68 billion was controversially announced for the Amnesty program intended for 20,192 registered militants. The actual size of the budget was a constantly shifting target, with different amounts being quoted in the national and international press at different times and the subject of continuous upward revision. Exactly how the budget was to be spent, and the proportion which was to be allocated to monthly allowances versus the proportion allocated to a broader reintegration and rehabilitation package, was also unclear.  </w:t>
      </w:r>
    </w:p>
    <w:p w:rsid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Over a 42 month period of training, reintegration and rehabilitation in government designated residential training centers, ex-repentant militants who registered were to receive monthly allowances of N65, 000 over the same period. This was three times the average salary for a young public sector worker in Nigeria but just a little higher than the foot soldier salary, which stood at 50,000 naira (US$400) in 2006, and substantiates the claim that the amnesty was an attempt to replace an economy of violence with an economy of peace. This could only hold true if militant numbers were accurate. Yet the criteria used to establish eligibility for inclusion were also unclear, with the numbers of intended ‘beneficiaries’ widely believed to have been inflated. </w:t>
      </w:r>
    </w:p>
    <w:p w:rsidR="00D115FF" w:rsidRPr="00CC292E" w:rsidRDefault="00D115FF" w:rsidP="00CC292E">
      <w:pPr>
        <w:spacing w:after="0" w:line="240" w:lineRule="auto"/>
        <w:ind w:firstLine="284"/>
        <w:jc w:val="both"/>
        <w:rPr>
          <w:rFonts w:ascii="Times New Roman" w:eastAsia="Times New Roman" w:hAnsi="Times New Roman" w:cs="Times New Roman"/>
          <w:color w:val="000000"/>
          <w:lang w:val="en-GB" w:eastAsia="en-GB"/>
        </w:rPr>
      </w:pPr>
    </w:p>
    <w:p w:rsidR="00CC292E" w:rsidRPr="00CC292E" w:rsidRDefault="00CC292E" w:rsidP="00CC292E">
      <w:pPr>
        <w:keepNext/>
        <w:keepLines/>
        <w:spacing w:after="0" w:line="240" w:lineRule="auto"/>
        <w:ind w:firstLine="284"/>
        <w:outlineLvl w:val="0"/>
        <w:rPr>
          <w:rFonts w:ascii="Times New Roman" w:eastAsia="Times New Roman" w:hAnsi="Times New Roman" w:cs="Times New Roman"/>
          <w:b/>
          <w:color w:val="000000"/>
          <w:lang w:val="en-GB" w:eastAsia="en-GB"/>
        </w:rPr>
      </w:pPr>
      <w:bookmarkStart w:id="9" w:name="_Toc97233586"/>
      <w:r w:rsidRPr="00CC292E">
        <w:rPr>
          <w:rFonts w:ascii="Times New Roman" w:eastAsia="Times New Roman" w:hAnsi="Times New Roman" w:cs="Times New Roman"/>
          <w:b/>
          <w:color w:val="000000"/>
          <w:lang w:val="en-GB" w:eastAsia="en-GB"/>
        </w:rPr>
        <w:t>Methodology</w:t>
      </w:r>
      <w:bookmarkEnd w:id="9"/>
      <w:r w:rsidRPr="00CC292E">
        <w:rPr>
          <w:rFonts w:ascii="Times New Roman" w:eastAsia="Times New Roman" w:hAnsi="Times New Roman" w:cs="Times New Roman"/>
          <w:b/>
          <w:color w:val="000000"/>
          <w:lang w:val="en-GB" w:eastAsia="en-GB"/>
        </w:rPr>
        <w:t xml:space="preserve">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The approaches used in this study are qualitative research design. According to Creswell (2003), “qualitative procedures” stand in stark contrast to the methods of quantitative research. Qualitative inquiry uses different knowledge claims, strategies of inquiry, and methods of data collection and analysis. Although the process is similar, qualitative procedures rely on the text and image data, have unique steps in data analysis, and draw on diverse strategies of inquiry. The study in a bid to achieve its objectives adopted both exploratory and descriptive methods of design. The study also uses exploratory approach of design since it uses </w:t>
      </w:r>
      <w:r w:rsidRPr="00CC292E">
        <w:rPr>
          <w:rFonts w:ascii="Times New Roman" w:eastAsia="Times New Roman" w:hAnsi="Times New Roman" w:cs="Times New Roman"/>
          <w:i/>
          <w:color w:val="000000"/>
          <w:lang w:val="en-GB" w:eastAsia="en-GB"/>
        </w:rPr>
        <w:t xml:space="preserve">literature search and case analysis </w:t>
      </w:r>
      <w:r w:rsidRPr="00CC292E">
        <w:rPr>
          <w:rFonts w:ascii="Times New Roman" w:eastAsia="Times New Roman" w:hAnsi="Times New Roman" w:cs="Times New Roman"/>
          <w:color w:val="000000"/>
          <w:lang w:val="en-GB" w:eastAsia="en-GB"/>
        </w:rPr>
        <w:t xml:space="preserve">which are forms of exploratory design techniques. </w:t>
      </w:r>
    </w:p>
    <w:p w:rsidR="00D115FF"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Data collected for the study was from both primary and secondary sources. Primary source of data was collected through telephone interview conducted for the management of the programme in order to have an insight on the progress and challenges encountering the programme. Secondary source of data (information) was also obtained from internet, journals and other forms in completing the study.</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b/>
          <w:i/>
          <w:color w:val="000000"/>
          <w:lang w:val="en-GB" w:eastAsia="en-GB"/>
        </w:rPr>
        <w:t xml:space="preserve"> </w:t>
      </w:r>
    </w:p>
    <w:p w:rsidR="00CC292E" w:rsidRPr="00CC292E" w:rsidRDefault="00CC292E" w:rsidP="00CC292E">
      <w:pPr>
        <w:keepNext/>
        <w:keepLines/>
        <w:spacing w:after="0" w:line="240" w:lineRule="auto"/>
        <w:ind w:firstLine="284"/>
        <w:outlineLvl w:val="0"/>
        <w:rPr>
          <w:rFonts w:ascii="Times New Roman" w:eastAsia="Times New Roman" w:hAnsi="Times New Roman" w:cs="Times New Roman"/>
          <w:b/>
          <w:color w:val="000000"/>
          <w:lang w:val="en-GB" w:eastAsia="en-GB"/>
        </w:rPr>
      </w:pPr>
      <w:bookmarkStart w:id="10" w:name="_Toc97233597"/>
      <w:r w:rsidRPr="00CC292E">
        <w:rPr>
          <w:rFonts w:ascii="Times New Roman" w:eastAsia="Times New Roman" w:hAnsi="Times New Roman" w:cs="Times New Roman"/>
          <w:b/>
          <w:color w:val="000000"/>
          <w:lang w:val="en-GB" w:eastAsia="en-GB"/>
        </w:rPr>
        <w:t>Financial Commitment of the Federal Government to the Programme</w:t>
      </w:r>
      <w:bookmarkEnd w:id="10"/>
      <w:r w:rsidRPr="00CC292E">
        <w:rPr>
          <w:rFonts w:ascii="Times New Roman" w:eastAsia="Times New Roman" w:hAnsi="Times New Roman" w:cs="Times New Roman"/>
          <w:b/>
          <w:color w:val="000000"/>
          <w:lang w:val="en-GB" w:eastAsia="en-GB"/>
        </w:rPr>
        <w:t xml:space="preserve">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Every empowerment programme aiming to the achievement of a complete success rightfully depends on the amount of money pumped into it. This subsection of the study therefore provides insight in to the financial commitment of the government to the Amnesty programme. </w:t>
      </w:r>
    </w:p>
    <w:p w:rsidR="00CC292E" w:rsidRDefault="00CC292E" w:rsidP="00D115FF">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The proclamation of amnesty in the Niger-Delta by former President Yar’Adua, on 25 June 2009 received commendation from the National Council of States, which is the highest nation’s advisory body. The Nigerian government has demonstrated commitment to the programme through financial allocation to the programme, which amounts to N127 billion between 2009 and 2011. See table 1 below. The Ministry of Niger-Delta Affairs also got the sum of N181 billion during the same period (see Table 2). </w:t>
      </w:r>
    </w:p>
    <w:p w:rsidR="00D115FF" w:rsidRPr="00CC292E" w:rsidRDefault="00D115FF" w:rsidP="00D115FF">
      <w:pPr>
        <w:spacing w:after="0" w:line="240" w:lineRule="auto"/>
        <w:ind w:firstLine="284"/>
        <w:jc w:val="both"/>
        <w:rPr>
          <w:rFonts w:ascii="Times New Roman" w:eastAsia="Times New Roman" w:hAnsi="Times New Roman" w:cs="Times New Roman"/>
          <w:color w:val="000000"/>
          <w:lang w:val="en-GB" w:eastAsia="en-GB"/>
        </w:rPr>
      </w:pPr>
    </w:p>
    <w:p w:rsidR="00CC292E" w:rsidRPr="00D115FF" w:rsidRDefault="00CC292E" w:rsidP="00D115FF">
      <w:pPr>
        <w:spacing w:after="120" w:line="240" w:lineRule="auto"/>
        <w:jc w:val="center"/>
        <w:rPr>
          <w:rFonts w:ascii="Times New Roman" w:eastAsia="Times New Roman" w:hAnsi="Times New Roman" w:cs="Times New Roman"/>
          <w:iCs/>
          <w:color w:val="000000"/>
          <w:lang w:val="en-GB" w:eastAsia="en-GB"/>
        </w:rPr>
      </w:pPr>
      <w:r w:rsidRPr="00D115FF">
        <w:rPr>
          <w:rFonts w:ascii="Times New Roman" w:eastAsia="Times New Roman" w:hAnsi="Times New Roman" w:cs="Times New Roman"/>
          <w:b/>
          <w:iCs/>
          <w:color w:val="000000"/>
          <w:sz w:val="20"/>
          <w:szCs w:val="20"/>
          <w:lang w:val="en-GB" w:eastAsia="en-GB"/>
        </w:rPr>
        <w:t>Table 1: Budget Receipt by the Niger-Delta Amnesty Programme, 2009-2011</w:t>
      </w:r>
    </w:p>
    <w:tbl>
      <w:tblPr>
        <w:tblW w:w="5000" w:type="pct"/>
        <w:tblCellMar>
          <w:top w:w="7" w:type="dxa"/>
          <w:left w:w="0" w:type="dxa"/>
          <w:right w:w="115" w:type="dxa"/>
        </w:tblCellMar>
        <w:tblLook w:val="04A0"/>
      </w:tblPr>
      <w:tblGrid>
        <w:gridCol w:w="1274"/>
        <w:gridCol w:w="1586"/>
        <w:gridCol w:w="4626"/>
      </w:tblGrid>
      <w:tr w:rsidR="00CC292E" w:rsidRPr="007033E3" w:rsidTr="007033E3">
        <w:trPr>
          <w:trHeight w:val="567"/>
        </w:trPr>
        <w:tc>
          <w:tcPr>
            <w:tcW w:w="851" w:type="pct"/>
            <w:tcBorders>
              <w:top w:val="single" w:sz="4" w:space="0" w:color="000000"/>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b/>
                <w:color w:val="000000"/>
                <w:sz w:val="20"/>
                <w:szCs w:val="20"/>
              </w:rPr>
              <w:t xml:space="preserve">Year </w:t>
            </w:r>
          </w:p>
        </w:tc>
        <w:tc>
          <w:tcPr>
            <w:tcW w:w="1059" w:type="pct"/>
            <w:tcBorders>
              <w:top w:val="single" w:sz="4" w:space="0" w:color="000000"/>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b/>
                <w:color w:val="000000"/>
                <w:sz w:val="20"/>
                <w:szCs w:val="20"/>
              </w:rPr>
              <w:t xml:space="preserve">Budget receipt </w:t>
            </w:r>
          </w:p>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b/>
                <w:color w:val="000000"/>
                <w:sz w:val="20"/>
                <w:szCs w:val="20"/>
              </w:rPr>
              <w:t xml:space="preserve">(N) </w:t>
            </w:r>
          </w:p>
        </w:tc>
        <w:tc>
          <w:tcPr>
            <w:tcW w:w="3090" w:type="pct"/>
            <w:tcBorders>
              <w:top w:val="single" w:sz="4" w:space="0" w:color="000000"/>
              <w:left w:val="nil"/>
              <w:bottom w:val="single" w:sz="4" w:space="0" w:color="000000"/>
              <w:right w:val="nil"/>
            </w:tcBorders>
            <w:shd w:val="clear" w:color="auto" w:fill="auto"/>
          </w:tcPr>
          <w:p w:rsidR="00CC292E" w:rsidRPr="007033E3" w:rsidRDefault="00CC292E" w:rsidP="007033E3">
            <w:pPr>
              <w:spacing w:after="0" w:line="240" w:lineRule="auto"/>
              <w:jc w:val="center"/>
              <w:rPr>
                <w:rFonts w:ascii="Times New Roman" w:eastAsia="Times New Roman" w:hAnsi="Times New Roman" w:cs="Times New Roman"/>
                <w:color w:val="000000"/>
                <w:sz w:val="20"/>
                <w:szCs w:val="20"/>
              </w:rPr>
            </w:pPr>
            <w:r w:rsidRPr="007033E3">
              <w:rPr>
                <w:rFonts w:ascii="Times New Roman" w:eastAsia="Times New Roman" w:hAnsi="Times New Roman" w:cs="Times New Roman"/>
                <w:b/>
                <w:color w:val="000000"/>
                <w:sz w:val="20"/>
                <w:szCs w:val="20"/>
              </w:rPr>
              <w:t xml:space="preserve">Purpose </w:t>
            </w:r>
          </w:p>
        </w:tc>
      </w:tr>
      <w:tr w:rsidR="00CC292E" w:rsidRPr="007033E3" w:rsidTr="007033E3">
        <w:trPr>
          <w:trHeight w:val="416"/>
        </w:trPr>
        <w:tc>
          <w:tcPr>
            <w:tcW w:w="851" w:type="pct"/>
            <w:tcBorders>
              <w:top w:val="single" w:sz="4" w:space="0" w:color="000000"/>
              <w:left w:val="nil"/>
              <w:bottom w:val="nil"/>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2009 </w:t>
            </w:r>
          </w:p>
        </w:tc>
        <w:tc>
          <w:tcPr>
            <w:tcW w:w="1059" w:type="pct"/>
            <w:tcBorders>
              <w:top w:val="single" w:sz="4" w:space="0" w:color="000000"/>
              <w:left w:val="nil"/>
              <w:bottom w:val="nil"/>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30bn </w:t>
            </w:r>
          </w:p>
        </w:tc>
        <w:tc>
          <w:tcPr>
            <w:tcW w:w="3090" w:type="pct"/>
            <w:tcBorders>
              <w:top w:val="single" w:sz="4" w:space="0" w:color="000000"/>
              <w:left w:val="nil"/>
              <w:bottom w:val="nil"/>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Program take-off grant </w:t>
            </w:r>
          </w:p>
        </w:tc>
      </w:tr>
      <w:tr w:rsidR="00CC292E" w:rsidRPr="007033E3" w:rsidTr="007033E3">
        <w:trPr>
          <w:trHeight w:val="408"/>
        </w:trPr>
        <w:tc>
          <w:tcPr>
            <w:tcW w:w="851" w:type="pct"/>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2010 </w:t>
            </w:r>
          </w:p>
        </w:tc>
        <w:tc>
          <w:tcPr>
            <w:tcW w:w="1059" w:type="pct"/>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30bn </w:t>
            </w:r>
          </w:p>
        </w:tc>
        <w:tc>
          <w:tcPr>
            <w:tcW w:w="3090" w:type="pct"/>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Feeding stipends and reintegration for ex-militants </w:t>
            </w:r>
          </w:p>
        </w:tc>
      </w:tr>
      <w:tr w:rsidR="00CC292E" w:rsidRPr="007033E3" w:rsidTr="007033E3">
        <w:trPr>
          <w:trHeight w:val="438"/>
        </w:trPr>
        <w:tc>
          <w:tcPr>
            <w:tcW w:w="851" w:type="pct"/>
            <w:tcBorders>
              <w:top w:val="nil"/>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2011 </w:t>
            </w:r>
          </w:p>
        </w:tc>
        <w:tc>
          <w:tcPr>
            <w:tcW w:w="1059" w:type="pct"/>
            <w:tcBorders>
              <w:top w:val="nil"/>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90bn </w:t>
            </w:r>
          </w:p>
        </w:tc>
        <w:tc>
          <w:tcPr>
            <w:tcW w:w="3090" w:type="pct"/>
            <w:tcBorders>
              <w:top w:val="nil"/>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Feeding stipends and reintegration for ex-militants </w:t>
            </w:r>
          </w:p>
        </w:tc>
      </w:tr>
    </w:tbl>
    <w:p w:rsidR="00CC292E" w:rsidRPr="00CC292E" w:rsidRDefault="00CC292E" w:rsidP="00CC292E">
      <w:pPr>
        <w:tabs>
          <w:tab w:val="center" w:pos="881"/>
          <w:tab w:val="center" w:pos="2682"/>
          <w:tab w:val="center" w:pos="3716"/>
        </w:tabs>
        <w:spacing w:after="0" w:line="240" w:lineRule="auto"/>
        <w:ind w:firstLine="284"/>
        <w:rPr>
          <w:rFonts w:ascii="Times New Roman" w:eastAsia="Times New Roman" w:hAnsi="Times New Roman" w:cs="Times New Roman"/>
          <w:color w:val="000000"/>
          <w:lang w:val="en-GB" w:eastAsia="en-GB"/>
        </w:rPr>
      </w:pPr>
      <w:r w:rsidRPr="00CC292E">
        <w:rPr>
          <w:rFonts w:ascii="Times New Roman" w:eastAsia="Calibri" w:hAnsi="Times New Roman" w:cs="Times New Roman"/>
          <w:color w:val="000000"/>
          <w:lang w:val="en-GB" w:eastAsia="en-GB"/>
        </w:rPr>
        <w:tab/>
      </w:r>
      <w:r w:rsidRPr="00D115FF">
        <w:rPr>
          <w:rFonts w:ascii="Times New Roman" w:eastAsia="Times New Roman" w:hAnsi="Times New Roman" w:cs="Times New Roman"/>
          <w:b/>
          <w:color w:val="000000"/>
          <w:sz w:val="20"/>
          <w:szCs w:val="20"/>
          <w:lang w:val="en-GB" w:eastAsia="en-GB"/>
        </w:rPr>
        <w:t xml:space="preserve">Total  </w:t>
      </w:r>
      <w:r w:rsidRPr="00D115FF">
        <w:rPr>
          <w:rFonts w:ascii="Times New Roman" w:eastAsia="Times New Roman" w:hAnsi="Times New Roman" w:cs="Times New Roman"/>
          <w:b/>
          <w:color w:val="000000"/>
          <w:sz w:val="20"/>
          <w:szCs w:val="20"/>
          <w:lang w:val="en-GB" w:eastAsia="en-GB"/>
        </w:rPr>
        <w:tab/>
        <w:t xml:space="preserve">N127bn </w:t>
      </w:r>
      <w:r w:rsidRPr="00CC292E">
        <w:rPr>
          <w:rFonts w:ascii="Times New Roman" w:eastAsia="Times New Roman" w:hAnsi="Times New Roman" w:cs="Times New Roman"/>
          <w:b/>
          <w:color w:val="000000"/>
          <w:lang w:val="en-GB" w:eastAsia="en-GB"/>
        </w:rPr>
        <w:tab/>
        <w:t xml:space="preserve"> </w:t>
      </w:r>
    </w:p>
    <w:p w:rsidR="00CC292E" w:rsidRPr="00CC292E" w:rsidRDefault="00CC292E" w:rsidP="00CC292E">
      <w:pPr>
        <w:spacing w:after="0" w:line="240" w:lineRule="auto"/>
        <w:ind w:firstLine="284"/>
        <w:rPr>
          <w:rFonts w:ascii="Times New Roman" w:eastAsia="Times New Roman" w:hAnsi="Times New Roman" w:cs="Times New Roman"/>
          <w:color w:val="000000"/>
          <w:lang w:val="en-GB" w:eastAsia="en-GB"/>
        </w:rPr>
      </w:pPr>
    </w:p>
    <w:p w:rsidR="00CC292E" w:rsidRPr="00D115FF" w:rsidRDefault="00CC292E" w:rsidP="00D115FF">
      <w:pPr>
        <w:spacing w:after="0" w:line="240" w:lineRule="auto"/>
        <w:jc w:val="center"/>
        <w:rPr>
          <w:rFonts w:ascii="Times New Roman" w:eastAsia="Times New Roman" w:hAnsi="Times New Roman" w:cs="Times New Roman"/>
          <w:bCs/>
          <w:iCs/>
          <w:color w:val="000000"/>
          <w:lang w:val="en-GB" w:eastAsia="en-GB"/>
        </w:rPr>
      </w:pPr>
      <w:r w:rsidRPr="00D115FF">
        <w:rPr>
          <w:rFonts w:ascii="Times New Roman" w:eastAsia="Times New Roman" w:hAnsi="Times New Roman" w:cs="Times New Roman"/>
          <w:bCs/>
          <w:iCs/>
          <w:color w:val="000000"/>
          <w:sz w:val="20"/>
          <w:szCs w:val="20"/>
          <w:lang w:val="en-GB" w:eastAsia="en-GB"/>
        </w:rPr>
        <w:t>Source: Author’s compilation from media source</w:t>
      </w:r>
    </w:p>
    <w:p w:rsidR="00CC292E" w:rsidRPr="00CC292E" w:rsidRDefault="00CC292E" w:rsidP="00CC292E">
      <w:pPr>
        <w:spacing w:after="0" w:line="240" w:lineRule="auto"/>
        <w:ind w:firstLine="284"/>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b/>
          <w:color w:val="000000"/>
          <w:lang w:val="en-GB" w:eastAsia="en-GB"/>
        </w:rPr>
        <w:t xml:space="preserve"> </w:t>
      </w:r>
    </w:p>
    <w:p w:rsidR="00CC292E" w:rsidRPr="00D115FF" w:rsidRDefault="00CC292E" w:rsidP="00D115FF">
      <w:pPr>
        <w:spacing w:after="120" w:line="240" w:lineRule="auto"/>
        <w:jc w:val="center"/>
        <w:rPr>
          <w:rFonts w:ascii="Times New Roman" w:eastAsia="Times New Roman" w:hAnsi="Times New Roman" w:cs="Times New Roman"/>
          <w:iCs/>
          <w:color w:val="000000"/>
          <w:sz w:val="20"/>
          <w:szCs w:val="20"/>
          <w:lang w:val="en-GB" w:eastAsia="en-GB"/>
        </w:rPr>
      </w:pPr>
      <w:r w:rsidRPr="00D115FF">
        <w:rPr>
          <w:rFonts w:ascii="Times New Roman" w:eastAsia="Times New Roman" w:hAnsi="Times New Roman" w:cs="Times New Roman"/>
          <w:b/>
          <w:iCs/>
          <w:color w:val="000000"/>
          <w:sz w:val="20"/>
          <w:szCs w:val="20"/>
          <w:lang w:val="en-GB" w:eastAsia="en-GB"/>
        </w:rPr>
        <w:t>Table 2: Budget receipt by Ministry of Niger-Delta Affairs, 2009-2011</w:t>
      </w:r>
    </w:p>
    <w:tbl>
      <w:tblPr>
        <w:tblW w:w="5000" w:type="pct"/>
        <w:tblCellMar>
          <w:top w:w="7" w:type="dxa"/>
          <w:left w:w="0" w:type="dxa"/>
          <w:right w:w="115" w:type="dxa"/>
        </w:tblCellMar>
        <w:tblLook w:val="04A0"/>
      </w:tblPr>
      <w:tblGrid>
        <w:gridCol w:w="4541"/>
        <w:gridCol w:w="2945"/>
      </w:tblGrid>
      <w:tr w:rsidR="00CC292E" w:rsidRPr="007033E3" w:rsidTr="007033E3">
        <w:trPr>
          <w:trHeight w:val="562"/>
        </w:trPr>
        <w:tc>
          <w:tcPr>
            <w:tcW w:w="3033" w:type="pct"/>
            <w:tcBorders>
              <w:top w:val="single" w:sz="4" w:space="0" w:color="000000"/>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b/>
                <w:color w:val="000000"/>
                <w:sz w:val="20"/>
                <w:szCs w:val="20"/>
              </w:rPr>
              <w:t xml:space="preserve">Year </w:t>
            </w:r>
          </w:p>
        </w:tc>
        <w:tc>
          <w:tcPr>
            <w:tcW w:w="1967" w:type="pct"/>
            <w:tcBorders>
              <w:top w:val="single" w:sz="4" w:space="0" w:color="000000"/>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b/>
                <w:color w:val="000000"/>
                <w:sz w:val="20"/>
                <w:szCs w:val="20"/>
              </w:rPr>
              <w:t xml:space="preserve">Budget (N) </w:t>
            </w:r>
          </w:p>
        </w:tc>
      </w:tr>
      <w:tr w:rsidR="00CC292E" w:rsidRPr="007033E3" w:rsidTr="007033E3">
        <w:trPr>
          <w:trHeight w:val="366"/>
        </w:trPr>
        <w:tc>
          <w:tcPr>
            <w:tcW w:w="3033" w:type="pct"/>
            <w:tcBorders>
              <w:top w:val="single" w:sz="4" w:space="0" w:color="000000"/>
              <w:left w:val="nil"/>
              <w:bottom w:val="nil"/>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2009 </w:t>
            </w:r>
          </w:p>
        </w:tc>
        <w:tc>
          <w:tcPr>
            <w:tcW w:w="1967" w:type="pct"/>
            <w:tcBorders>
              <w:top w:val="single" w:sz="4" w:space="0" w:color="000000"/>
              <w:left w:val="nil"/>
              <w:bottom w:val="nil"/>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97bn </w:t>
            </w:r>
          </w:p>
        </w:tc>
      </w:tr>
      <w:tr w:rsidR="00CC292E" w:rsidRPr="007033E3" w:rsidTr="007033E3">
        <w:trPr>
          <w:trHeight w:val="410"/>
        </w:trPr>
        <w:tc>
          <w:tcPr>
            <w:tcW w:w="3033" w:type="pct"/>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2010 </w:t>
            </w:r>
          </w:p>
        </w:tc>
        <w:tc>
          <w:tcPr>
            <w:tcW w:w="1967" w:type="pct"/>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46bn </w:t>
            </w:r>
          </w:p>
        </w:tc>
      </w:tr>
      <w:tr w:rsidR="00CC292E" w:rsidRPr="007033E3" w:rsidTr="007033E3">
        <w:trPr>
          <w:trHeight w:val="338"/>
        </w:trPr>
        <w:tc>
          <w:tcPr>
            <w:tcW w:w="3033" w:type="pct"/>
            <w:tcBorders>
              <w:top w:val="nil"/>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2011 </w:t>
            </w:r>
          </w:p>
        </w:tc>
        <w:tc>
          <w:tcPr>
            <w:tcW w:w="1967" w:type="pct"/>
            <w:tcBorders>
              <w:top w:val="nil"/>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39bn </w:t>
            </w:r>
          </w:p>
        </w:tc>
      </w:tr>
    </w:tbl>
    <w:p w:rsidR="00CC292E" w:rsidRPr="00CC292E" w:rsidRDefault="00CC292E" w:rsidP="00CC292E">
      <w:pPr>
        <w:tabs>
          <w:tab w:val="center" w:pos="1145"/>
          <w:tab w:val="center" w:pos="5952"/>
        </w:tabs>
        <w:spacing w:after="0" w:line="240" w:lineRule="auto"/>
        <w:ind w:firstLine="284"/>
        <w:rPr>
          <w:rFonts w:ascii="Times New Roman" w:eastAsia="Times New Roman" w:hAnsi="Times New Roman" w:cs="Times New Roman"/>
          <w:color w:val="000000"/>
          <w:lang w:val="en-GB" w:eastAsia="en-GB"/>
        </w:rPr>
      </w:pPr>
      <w:r w:rsidRPr="00CC292E">
        <w:rPr>
          <w:rFonts w:ascii="Times New Roman" w:eastAsia="Calibri" w:hAnsi="Times New Roman" w:cs="Times New Roman"/>
          <w:color w:val="000000"/>
          <w:lang w:val="en-GB" w:eastAsia="en-GB"/>
        </w:rPr>
        <w:tab/>
      </w:r>
      <w:r w:rsidRPr="00D115FF">
        <w:rPr>
          <w:rFonts w:ascii="Times New Roman" w:eastAsia="Times New Roman" w:hAnsi="Times New Roman" w:cs="Times New Roman"/>
          <w:b/>
          <w:color w:val="000000"/>
          <w:sz w:val="20"/>
          <w:szCs w:val="20"/>
          <w:lang w:val="en-GB" w:eastAsia="en-GB"/>
        </w:rPr>
        <w:t xml:space="preserve">Total </w:t>
      </w:r>
      <w:r w:rsidRPr="00D115FF">
        <w:rPr>
          <w:rFonts w:ascii="Times New Roman" w:eastAsia="Times New Roman" w:hAnsi="Times New Roman" w:cs="Times New Roman"/>
          <w:b/>
          <w:color w:val="000000"/>
          <w:sz w:val="20"/>
          <w:szCs w:val="20"/>
          <w:lang w:val="en-GB" w:eastAsia="en-GB"/>
        </w:rPr>
        <w:tab/>
        <w:t xml:space="preserve">N181bn </w:t>
      </w:r>
    </w:p>
    <w:p w:rsidR="00CC292E" w:rsidRPr="00CC292E" w:rsidRDefault="00CC292E" w:rsidP="00CC292E">
      <w:pPr>
        <w:spacing w:after="0" w:line="240" w:lineRule="auto"/>
        <w:ind w:firstLine="284"/>
        <w:rPr>
          <w:rFonts w:ascii="Times New Roman" w:eastAsia="Times New Roman" w:hAnsi="Times New Roman" w:cs="Times New Roman"/>
          <w:color w:val="000000"/>
          <w:lang w:val="en-GB" w:eastAsia="en-GB"/>
        </w:rPr>
      </w:pPr>
    </w:p>
    <w:p w:rsidR="00CC292E" w:rsidRPr="00D115FF" w:rsidRDefault="00CC292E" w:rsidP="00D115FF">
      <w:pPr>
        <w:spacing w:after="0" w:line="240" w:lineRule="auto"/>
        <w:ind w:firstLine="284"/>
        <w:jc w:val="center"/>
        <w:rPr>
          <w:rFonts w:ascii="Times New Roman" w:eastAsia="Times New Roman" w:hAnsi="Times New Roman" w:cs="Times New Roman"/>
          <w:bCs/>
          <w:iCs/>
          <w:color w:val="000000"/>
          <w:sz w:val="20"/>
          <w:szCs w:val="20"/>
          <w:lang w:val="en-GB" w:eastAsia="en-GB"/>
        </w:rPr>
      </w:pPr>
      <w:r w:rsidRPr="00D115FF">
        <w:rPr>
          <w:rFonts w:ascii="Times New Roman" w:eastAsia="Times New Roman" w:hAnsi="Times New Roman" w:cs="Times New Roman"/>
          <w:bCs/>
          <w:iCs/>
          <w:color w:val="000000"/>
          <w:sz w:val="20"/>
          <w:szCs w:val="20"/>
          <w:lang w:val="en-GB" w:eastAsia="en-GB"/>
        </w:rPr>
        <w:t>Source: Author’s compilation from media source</w:t>
      </w:r>
    </w:p>
    <w:p w:rsidR="00D115FF" w:rsidRDefault="00D115FF" w:rsidP="00CC292E">
      <w:pPr>
        <w:spacing w:after="0" w:line="240" w:lineRule="auto"/>
        <w:ind w:firstLine="284"/>
        <w:jc w:val="both"/>
        <w:rPr>
          <w:rFonts w:ascii="Times New Roman" w:eastAsia="Times New Roman" w:hAnsi="Times New Roman" w:cs="Times New Roman"/>
          <w:color w:val="000000"/>
          <w:lang w:val="en-GB" w:eastAsia="en-GB"/>
        </w:rPr>
      </w:pP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Following the disarmament, demobilization and reintegration processes, including arms were collection, oath of renunciation, presidential pardon, and registration for reintegration, the 60-day amnesty lapsed on 4 October 2009. A total of 26,358 ex-militants registered for the amnesty programme. As at 28 November 2012, 12,000 had been trained in different fields like pipeline welding and crane operations.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The Presidential Amnesty Office in Abuja also reported that 113 former militants had been offered employment in maritime, welding and fabrication companies at home and abroad. This is a pointer to the level of success recorded in the reintegration component of the amnesty programme. Sadly, however, the lavish expenditures on the amnesty programme have been described in the popular media as a ‘political liability’ to the Nigerian government. The year 2012 budget proposal allots a whopping $450 million to the amnesty programme, which is more than what the government spends to deliver basic education to children. Table 3 shows the 2012 budget of N305 billion for projects execution in the Niger-Delta and running of its interventionist agencies.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p>
    <w:p w:rsidR="00CC292E" w:rsidRPr="00D115FF" w:rsidRDefault="00CC292E" w:rsidP="00D115FF">
      <w:pPr>
        <w:spacing w:after="120" w:line="240" w:lineRule="auto"/>
        <w:jc w:val="center"/>
        <w:rPr>
          <w:rFonts w:ascii="Times New Roman" w:eastAsia="Times New Roman" w:hAnsi="Times New Roman" w:cs="Times New Roman"/>
          <w:b/>
          <w:iCs/>
          <w:color w:val="000000"/>
          <w:sz w:val="20"/>
          <w:szCs w:val="20"/>
          <w:lang w:val="en-GB" w:eastAsia="en-GB"/>
        </w:rPr>
      </w:pPr>
      <w:r w:rsidRPr="00D115FF">
        <w:rPr>
          <w:rFonts w:ascii="Times New Roman" w:eastAsia="Times New Roman" w:hAnsi="Times New Roman" w:cs="Times New Roman"/>
          <w:b/>
          <w:iCs/>
          <w:color w:val="000000"/>
          <w:sz w:val="20"/>
          <w:szCs w:val="20"/>
          <w:lang w:val="en-GB" w:eastAsia="en-GB"/>
        </w:rPr>
        <w:t>Table 3: Federal government’s budget for Niger-Delta for year 2012</w:t>
      </w:r>
    </w:p>
    <w:tbl>
      <w:tblPr>
        <w:tblW w:w="5000" w:type="pct"/>
        <w:tblCellMar>
          <w:top w:w="7" w:type="dxa"/>
          <w:left w:w="0" w:type="dxa"/>
          <w:right w:w="115" w:type="dxa"/>
        </w:tblCellMar>
        <w:tblLook w:val="04A0"/>
      </w:tblPr>
      <w:tblGrid>
        <w:gridCol w:w="2148"/>
        <w:gridCol w:w="5338"/>
      </w:tblGrid>
      <w:tr w:rsidR="00CC292E" w:rsidRPr="007033E3" w:rsidTr="007033E3">
        <w:trPr>
          <w:trHeight w:val="562"/>
        </w:trPr>
        <w:tc>
          <w:tcPr>
            <w:tcW w:w="1435" w:type="pct"/>
            <w:tcBorders>
              <w:top w:val="single" w:sz="4" w:space="0" w:color="000000"/>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b/>
                <w:color w:val="000000"/>
                <w:sz w:val="20"/>
                <w:szCs w:val="20"/>
              </w:rPr>
              <w:t xml:space="preserve">Amount (N) </w:t>
            </w:r>
          </w:p>
        </w:tc>
        <w:tc>
          <w:tcPr>
            <w:tcW w:w="3565" w:type="pct"/>
            <w:tcBorders>
              <w:top w:val="single" w:sz="4" w:space="0" w:color="000000"/>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b/>
                <w:color w:val="000000"/>
                <w:sz w:val="20"/>
                <w:szCs w:val="20"/>
              </w:rPr>
              <w:t xml:space="preserve">Purpose </w:t>
            </w:r>
          </w:p>
        </w:tc>
      </w:tr>
      <w:tr w:rsidR="00CC292E" w:rsidRPr="007033E3" w:rsidTr="007033E3">
        <w:trPr>
          <w:trHeight w:val="416"/>
        </w:trPr>
        <w:tc>
          <w:tcPr>
            <w:tcW w:w="1435" w:type="pct"/>
            <w:tcBorders>
              <w:top w:val="single" w:sz="4" w:space="0" w:color="000000"/>
              <w:left w:val="nil"/>
              <w:bottom w:val="nil"/>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N116.5 billion </w:t>
            </w:r>
          </w:p>
        </w:tc>
        <w:tc>
          <w:tcPr>
            <w:tcW w:w="3565" w:type="pct"/>
            <w:tcBorders>
              <w:top w:val="single" w:sz="4" w:space="0" w:color="000000"/>
              <w:left w:val="nil"/>
              <w:bottom w:val="nil"/>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South-south region-based federal projects (29.6%) of all regions </w:t>
            </w:r>
          </w:p>
        </w:tc>
      </w:tr>
      <w:tr w:rsidR="00CC292E" w:rsidRPr="007033E3" w:rsidTr="007033E3">
        <w:trPr>
          <w:trHeight w:val="552"/>
        </w:trPr>
        <w:tc>
          <w:tcPr>
            <w:tcW w:w="1435" w:type="pct"/>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N54.89 billion </w:t>
            </w:r>
          </w:p>
        </w:tc>
        <w:tc>
          <w:tcPr>
            <w:tcW w:w="3565" w:type="pct"/>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Statutory transfer to NDDC </w:t>
            </w:r>
          </w:p>
        </w:tc>
      </w:tr>
      <w:tr w:rsidR="00CC292E" w:rsidRPr="007033E3" w:rsidTr="007033E3">
        <w:trPr>
          <w:trHeight w:val="552"/>
        </w:trPr>
        <w:tc>
          <w:tcPr>
            <w:tcW w:w="1435" w:type="pct"/>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N60 billion </w:t>
            </w:r>
          </w:p>
        </w:tc>
        <w:tc>
          <w:tcPr>
            <w:tcW w:w="3565" w:type="pct"/>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Statutory transfer to Ministry of Niger Delta Affairs </w:t>
            </w:r>
          </w:p>
        </w:tc>
      </w:tr>
      <w:tr w:rsidR="00CC292E" w:rsidRPr="007033E3" w:rsidTr="007033E3">
        <w:trPr>
          <w:trHeight w:val="698"/>
        </w:trPr>
        <w:tc>
          <w:tcPr>
            <w:tcW w:w="1435" w:type="pct"/>
            <w:tcBorders>
              <w:top w:val="nil"/>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N74 billion </w:t>
            </w:r>
          </w:p>
        </w:tc>
        <w:tc>
          <w:tcPr>
            <w:tcW w:w="3565" w:type="pct"/>
            <w:tcBorders>
              <w:top w:val="nil"/>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Amnesty program for ex-militants </w:t>
            </w:r>
          </w:p>
        </w:tc>
      </w:tr>
    </w:tbl>
    <w:p w:rsidR="00D115FF" w:rsidRDefault="00D115FF" w:rsidP="00D115FF">
      <w:pPr>
        <w:spacing w:after="0" w:line="240" w:lineRule="auto"/>
        <w:jc w:val="center"/>
        <w:rPr>
          <w:rFonts w:ascii="Times New Roman" w:eastAsia="Times New Roman" w:hAnsi="Times New Roman" w:cs="Times New Roman"/>
          <w:bCs/>
          <w:iCs/>
          <w:color w:val="000000"/>
          <w:sz w:val="20"/>
          <w:szCs w:val="20"/>
          <w:lang w:val="en-GB" w:eastAsia="en-GB"/>
        </w:rPr>
      </w:pPr>
    </w:p>
    <w:p w:rsidR="00CC292E" w:rsidRPr="00D115FF" w:rsidRDefault="00CC292E" w:rsidP="00D115FF">
      <w:pPr>
        <w:spacing w:after="0" w:line="240" w:lineRule="auto"/>
        <w:jc w:val="center"/>
        <w:rPr>
          <w:rFonts w:ascii="Times New Roman" w:eastAsia="Times New Roman" w:hAnsi="Times New Roman" w:cs="Times New Roman"/>
          <w:bCs/>
          <w:iCs/>
          <w:color w:val="000000"/>
          <w:sz w:val="20"/>
          <w:szCs w:val="20"/>
          <w:lang w:val="en-GB" w:eastAsia="en-GB"/>
        </w:rPr>
      </w:pPr>
      <w:r w:rsidRPr="00D115FF">
        <w:rPr>
          <w:rFonts w:ascii="Times New Roman" w:eastAsia="Times New Roman" w:hAnsi="Times New Roman" w:cs="Times New Roman"/>
          <w:bCs/>
          <w:iCs/>
          <w:color w:val="000000"/>
          <w:sz w:val="20"/>
          <w:szCs w:val="20"/>
          <w:lang w:val="en-GB" w:eastAsia="en-GB"/>
        </w:rPr>
        <w:t>Source: Author’s compilation from media source</w:t>
      </w:r>
    </w:p>
    <w:p w:rsidR="00D115FF" w:rsidRDefault="00D115FF" w:rsidP="00CC292E">
      <w:pPr>
        <w:spacing w:after="0" w:line="240" w:lineRule="auto"/>
        <w:ind w:firstLine="284"/>
        <w:jc w:val="both"/>
        <w:rPr>
          <w:rFonts w:ascii="Times New Roman" w:eastAsia="Times New Roman" w:hAnsi="Times New Roman" w:cs="Times New Roman"/>
          <w:color w:val="000000"/>
          <w:lang w:val="en-GB" w:eastAsia="en-GB"/>
        </w:rPr>
      </w:pP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On their parts, the South-South states also proposed to expend the sum of N1.7 trillion for year 2012. The six South-South states, in addition to the other oil producing states, namely: Abia, Imo and Ondo, make up the Niger-Delta. See table 4 below. </w:t>
      </w:r>
    </w:p>
    <w:p w:rsidR="00CC292E" w:rsidRPr="00D115FF" w:rsidRDefault="00CC292E" w:rsidP="00D115FF">
      <w:pPr>
        <w:spacing w:after="120" w:line="240" w:lineRule="auto"/>
        <w:jc w:val="center"/>
        <w:rPr>
          <w:rFonts w:ascii="Times New Roman" w:eastAsia="Times New Roman" w:hAnsi="Times New Roman" w:cs="Times New Roman"/>
          <w:b/>
          <w:iCs/>
          <w:color w:val="000000"/>
          <w:lang w:val="en-GB" w:eastAsia="en-GB"/>
        </w:rPr>
      </w:pPr>
      <w:r w:rsidRPr="00D115FF">
        <w:rPr>
          <w:rFonts w:ascii="Times New Roman" w:eastAsia="Times New Roman" w:hAnsi="Times New Roman" w:cs="Times New Roman"/>
          <w:b/>
          <w:iCs/>
          <w:color w:val="000000"/>
          <w:sz w:val="20"/>
          <w:szCs w:val="20"/>
          <w:lang w:val="en-GB" w:eastAsia="en-GB"/>
        </w:rPr>
        <w:t>Table 4: South-South States budget for year 2012</w:t>
      </w:r>
    </w:p>
    <w:tbl>
      <w:tblPr>
        <w:tblW w:w="7012" w:type="dxa"/>
        <w:tblInd w:w="142" w:type="dxa"/>
        <w:tblCellMar>
          <w:top w:w="10" w:type="dxa"/>
          <w:left w:w="0" w:type="dxa"/>
          <w:right w:w="115" w:type="dxa"/>
        </w:tblCellMar>
        <w:tblLook w:val="04A0"/>
      </w:tblPr>
      <w:tblGrid>
        <w:gridCol w:w="2979"/>
        <w:gridCol w:w="2369"/>
        <w:gridCol w:w="1664"/>
      </w:tblGrid>
      <w:tr w:rsidR="00CC292E" w:rsidRPr="007033E3" w:rsidTr="007033E3">
        <w:trPr>
          <w:trHeight w:val="562"/>
        </w:trPr>
        <w:tc>
          <w:tcPr>
            <w:tcW w:w="2979" w:type="dxa"/>
            <w:tcBorders>
              <w:top w:val="single" w:sz="4" w:space="0" w:color="000000"/>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b/>
                <w:color w:val="000000"/>
                <w:sz w:val="20"/>
                <w:szCs w:val="20"/>
              </w:rPr>
              <w:t xml:space="preserve">State </w:t>
            </w:r>
          </w:p>
        </w:tc>
        <w:tc>
          <w:tcPr>
            <w:tcW w:w="2369" w:type="dxa"/>
            <w:tcBorders>
              <w:top w:val="single" w:sz="4" w:space="0" w:color="000000"/>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b/>
                <w:color w:val="000000"/>
                <w:sz w:val="20"/>
                <w:szCs w:val="20"/>
              </w:rPr>
              <w:t xml:space="preserve">Population </w:t>
            </w:r>
          </w:p>
        </w:tc>
        <w:tc>
          <w:tcPr>
            <w:tcW w:w="1664" w:type="dxa"/>
            <w:tcBorders>
              <w:top w:val="single" w:sz="4" w:space="0" w:color="000000"/>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b/>
                <w:color w:val="000000"/>
                <w:sz w:val="20"/>
                <w:szCs w:val="20"/>
              </w:rPr>
              <w:t xml:space="preserve">Budget (N) </w:t>
            </w:r>
          </w:p>
        </w:tc>
      </w:tr>
      <w:tr w:rsidR="00CC292E" w:rsidRPr="007033E3" w:rsidTr="007033E3">
        <w:trPr>
          <w:trHeight w:val="419"/>
        </w:trPr>
        <w:tc>
          <w:tcPr>
            <w:tcW w:w="2979" w:type="dxa"/>
            <w:tcBorders>
              <w:top w:val="single" w:sz="4" w:space="0" w:color="000000"/>
              <w:left w:val="nil"/>
              <w:bottom w:val="nil"/>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AkwaIbom </w:t>
            </w:r>
          </w:p>
        </w:tc>
        <w:tc>
          <w:tcPr>
            <w:tcW w:w="2369" w:type="dxa"/>
            <w:tcBorders>
              <w:top w:val="single" w:sz="4" w:space="0" w:color="000000"/>
              <w:left w:val="nil"/>
              <w:bottom w:val="nil"/>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3.9m </w:t>
            </w:r>
          </w:p>
        </w:tc>
        <w:tc>
          <w:tcPr>
            <w:tcW w:w="1664" w:type="dxa"/>
            <w:tcBorders>
              <w:top w:val="single" w:sz="4" w:space="0" w:color="000000"/>
              <w:left w:val="nil"/>
              <w:bottom w:val="nil"/>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397.1 bn </w:t>
            </w:r>
          </w:p>
        </w:tc>
      </w:tr>
      <w:tr w:rsidR="00CC292E" w:rsidRPr="007033E3" w:rsidTr="007033E3">
        <w:trPr>
          <w:trHeight w:val="552"/>
        </w:trPr>
        <w:tc>
          <w:tcPr>
            <w:tcW w:w="2979" w:type="dxa"/>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Bayelsa </w:t>
            </w:r>
          </w:p>
        </w:tc>
        <w:tc>
          <w:tcPr>
            <w:tcW w:w="2369" w:type="dxa"/>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1.7m </w:t>
            </w:r>
          </w:p>
        </w:tc>
        <w:tc>
          <w:tcPr>
            <w:tcW w:w="1664" w:type="dxa"/>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222bn </w:t>
            </w:r>
          </w:p>
        </w:tc>
      </w:tr>
      <w:tr w:rsidR="00CC292E" w:rsidRPr="007033E3" w:rsidTr="007033E3">
        <w:trPr>
          <w:trHeight w:val="552"/>
        </w:trPr>
        <w:tc>
          <w:tcPr>
            <w:tcW w:w="2979" w:type="dxa"/>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Cross River </w:t>
            </w:r>
          </w:p>
        </w:tc>
        <w:tc>
          <w:tcPr>
            <w:tcW w:w="2369" w:type="dxa"/>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2.8m </w:t>
            </w:r>
          </w:p>
        </w:tc>
        <w:tc>
          <w:tcPr>
            <w:tcW w:w="1664" w:type="dxa"/>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144.6bn </w:t>
            </w:r>
          </w:p>
        </w:tc>
      </w:tr>
      <w:tr w:rsidR="00CC292E" w:rsidRPr="007033E3" w:rsidTr="007033E3">
        <w:trPr>
          <w:trHeight w:val="552"/>
        </w:trPr>
        <w:tc>
          <w:tcPr>
            <w:tcW w:w="2979" w:type="dxa"/>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Delta </w:t>
            </w:r>
          </w:p>
        </w:tc>
        <w:tc>
          <w:tcPr>
            <w:tcW w:w="2369" w:type="dxa"/>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4.1m </w:t>
            </w:r>
          </w:p>
        </w:tc>
        <w:tc>
          <w:tcPr>
            <w:tcW w:w="1664" w:type="dxa"/>
            <w:tcBorders>
              <w:top w:val="nil"/>
              <w:left w:val="nil"/>
              <w:bottom w:val="nil"/>
              <w:right w:val="nil"/>
            </w:tcBorders>
            <w:shd w:val="clear" w:color="auto" w:fill="auto"/>
            <w:vAlign w:val="center"/>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383.39bn </w:t>
            </w:r>
          </w:p>
        </w:tc>
      </w:tr>
      <w:tr w:rsidR="00CC292E" w:rsidRPr="007033E3" w:rsidTr="007033E3">
        <w:trPr>
          <w:trHeight w:val="393"/>
        </w:trPr>
        <w:tc>
          <w:tcPr>
            <w:tcW w:w="2979" w:type="dxa"/>
            <w:tcBorders>
              <w:top w:val="nil"/>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Edo </w:t>
            </w:r>
          </w:p>
        </w:tc>
        <w:tc>
          <w:tcPr>
            <w:tcW w:w="2369" w:type="dxa"/>
            <w:tcBorders>
              <w:top w:val="nil"/>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3.2m </w:t>
            </w:r>
          </w:p>
        </w:tc>
        <w:tc>
          <w:tcPr>
            <w:tcW w:w="1664" w:type="dxa"/>
            <w:tcBorders>
              <w:top w:val="nil"/>
              <w:left w:val="nil"/>
              <w:bottom w:val="single" w:sz="4" w:space="0" w:color="000000"/>
              <w:right w:val="nil"/>
            </w:tcBorders>
            <w:shd w:val="clear" w:color="auto" w:fill="auto"/>
          </w:tcPr>
          <w:p w:rsidR="00CC292E" w:rsidRPr="007033E3" w:rsidRDefault="00CC292E" w:rsidP="007033E3">
            <w:pPr>
              <w:spacing w:after="0" w:line="240" w:lineRule="auto"/>
              <w:rPr>
                <w:rFonts w:ascii="Times New Roman" w:eastAsia="Times New Roman" w:hAnsi="Times New Roman" w:cs="Times New Roman"/>
                <w:color w:val="000000"/>
                <w:sz w:val="20"/>
                <w:szCs w:val="20"/>
              </w:rPr>
            </w:pPr>
            <w:r w:rsidRPr="007033E3">
              <w:rPr>
                <w:rFonts w:ascii="Times New Roman" w:eastAsia="Times New Roman" w:hAnsi="Times New Roman" w:cs="Times New Roman"/>
                <w:color w:val="000000"/>
                <w:sz w:val="20"/>
                <w:szCs w:val="20"/>
              </w:rPr>
              <w:t xml:space="preserve">150.9bn </w:t>
            </w:r>
          </w:p>
        </w:tc>
      </w:tr>
    </w:tbl>
    <w:p w:rsidR="00DB0E98" w:rsidRDefault="00DB0E98" w:rsidP="00DB0E98">
      <w:pPr>
        <w:spacing w:after="0" w:line="240" w:lineRule="auto"/>
        <w:jc w:val="center"/>
        <w:rPr>
          <w:rFonts w:ascii="Times New Roman" w:eastAsia="Times New Roman" w:hAnsi="Times New Roman" w:cs="Times New Roman"/>
          <w:bCs/>
          <w:iCs/>
          <w:color w:val="000000"/>
          <w:sz w:val="20"/>
          <w:szCs w:val="20"/>
          <w:lang w:val="en-GB" w:eastAsia="en-GB"/>
        </w:rPr>
      </w:pPr>
    </w:p>
    <w:p w:rsidR="00CC292E" w:rsidRPr="00DB0E98" w:rsidRDefault="00CC292E" w:rsidP="00DB0E98">
      <w:pPr>
        <w:spacing w:after="0" w:line="240" w:lineRule="auto"/>
        <w:jc w:val="center"/>
        <w:rPr>
          <w:rFonts w:ascii="Times New Roman" w:eastAsia="Times New Roman" w:hAnsi="Times New Roman" w:cs="Times New Roman"/>
          <w:bCs/>
          <w:iCs/>
          <w:color w:val="000000"/>
          <w:sz w:val="20"/>
          <w:szCs w:val="20"/>
          <w:lang w:val="en-GB" w:eastAsia="en-GB"/>
        </w:rPr>
      </w:pPr>
      <w:r w:rsidRPr="00DB0E98">
        <w:rPr>
          <w:rFonts w:ascii="Times New Roman" w:eastAsia="Times New Roman" w:hAnsi="Times New Roman" w:cs="Times New Roman"/>
          <w:bCs/>
          <w:iCs/>
          <w:color w:val="000000"/>
          <w:sz w:val="20"/>
          <w:szCs w:val="20"/>
          <w:lang w:val="en-GB" w:eastAsia="en-GB"/>
        </w:rPr>
        <w:t>Source: Author’s compilation from media source</w:t>
      </w:r>
    </w:p>
    <w:p w:rsidR="00DB0E98" w:rsidRDefault="00DB0E98" w:rsidP="00CC292E">
      <w:pPr>
        <w:spacing w:after="0" w:line="240" w:lineRule="auto"/>
        <w:ind w:firstLine="284"/>
        <w:jc w:val="both"/>
        <w:rPr>
          <w:rFonts w:ascii="Times New Roman" w:eastAsia="Times New Roman" w:hAnsi="Times New Roman" w:cs="Times New Roman"/>
          <w:color w:val="000000"/>
          <w:lang w:val="en-GB" w:eastAsia="en-GB"/>
        </w:rPr>
      </w:pPr>
    </w:p>
    <w:p w:rsid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Having envisaged the palpable lack of employment for all in the region, the Presidential Amnesty Office has also embarked on entrepreneurship scheme for ex-militants who have completed their training in various vocations in the entrepreneurship pilot scheme. As part of the reintegration component of the amnesty programme, the entrepreneurial scheme is intended to prepare beneficiaries for self-reliance. The scheme comprises a three-week intensive training, preparatory to start their businesses. It enables the beneficiaries create business outlets that are branded, and equipped with seed money. An interesting element of the entrepreneurial scheme is the 12-month monitoring and evaluation period. Within this period also, beneficiaries are expected to maintain log books and monthly reports at least to measure the growth in their choice business. To achieve proper funding and monitoring of the scheme, the Presidential Amnesty Office collaborates with banks. The scheme does not give cash to beneficiaries, it pays for business locations and equips the place with tools or items that would enable them operate their choices business. </w:t>
      </w:r>
    </w:p>
    <w:p w:rsidR="00DB0E98" w:rsidRPr="00CC292E" w:rsidRDefault="00DB0E98" w:rsidP="00CC292E">
      <w:pPr>
        <w:spacing w:after="0" w:line="240" w:lineRule="auto"/>
        <w:ind w:firstLine="284"/>
        <w:jc w:val="both"/>
        <w:rPr>
          <w:rFonts w:ascii="Times New Roman" w:eastAsia="Times New Roman" w:hAnsi="Times New Roman" w:cs="Times New Roman"/>
          <w:color w:val="000000"/>
          <w:lang w:val="en-GB" w:eastAsia="en-GB"/>
        </w:rPr>
      </w:pPr>
    </w:p>
    <w:p w:rsidR="00CC292E" w:rsidRPr="00CC292E" w:rsidRDefault="00CC292E" w:rsidP="00CC292E">
      <w:pPr>
        <w:keepNext/>
        <w:keepLines/>
        <w:spacing w:after="0" w:line="240" w:lineRule="auto"/>
        <w:ind w:firstLine="284"/>
        <w:outlineLvl w:val="0"/>
        <w:rPr>
          <w:rFonts w:ascii="Times New Roman" w:eastAsia="Times New Roman" w:hAnsi="Times New Roman" w:cs="Times New Roman"/>
          <w:b/>
          <w:color w:val="000000"/>
          <w:lang w:val="en-GB" w:eastAsia="en-GB"/>
        </w:rPr>
      </w:pPr>
      <w:bookmarkStart w:id="11" w:name="_Toc97233599"/>
      <w:r w:rsidRPr="00CC292E">
        <w:rPr>
          <w:rFonts w:ascii="Times New Roman" w:eastAsia="Times New Roman" w:hAnsi="Times New Roman" w:cs="Times New Roman"/>
          <w:b/>
          <w:color w:val="000000"/>
          <w:lang w:val="en-GB" w:eastAsia="en-GB"/>
        </w:rPr>
        <w:t>Challenges of the Amnesty Programme</w:t>
      </w:r>
      <w:bookmarkEnd w:id="11"/>
      <w:r w:rsidRPr="00CC292E">
        <w:rPr>
          <w:rFonts w:ascii="Times New Roman" w:eastAsia="Times New Roman" w:hAnsi="Times New Roman" w:cs="Times New Roman"/>
          <w:b/>
          <w:color w:val="000000"/>
          <w:lang w:val="en-GB" w:eastAsia="en-GB"/>
        </w:rPr>
        <w:t xml:space="preserve"> </w:t>
      </w:r>
    </w:p>
    <w:p w:rsid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The Amnesty programme since its time of commencement was realized to have faced many problems and challenges in accomplishing its objectives successfully and effectively. These are discussed by the study through observations, personal interviews and internet search. </w:t>
      </w:r>
    </w:p>
    <w:p w:rsidR="00DB0E98" w:rsidRPr="00CC292E" w:rsidRDefault="00DB0E98" w:rsidP="00CC292E">
      <w:pPr>
        <w:spacing w:after="0" w:line="240" w:lineRule="auto"/>
        <w:ind w:firstLine="284"/>
        <w:jc w:val="both"/>
        <w:rPr>
          <w:rFonts w:ascii="Times New Roman" w:eastAsia="Times New Roman" w:hAnsi="Times New Roman" w:cs="Times New Roman"/>
          <w:color w:val="000000"/>
          <w:lang w:val="en-GB" w:eastAsia="en-GB"/>
        </w:rPr>
      </w:pPr>
    </w:p>
    <w:p w:rsidR="00CC292E" w:rsidRPr="00CC292E" w:rsidRDefault="00CC292E" w:rsidP="00CC292E">
      <w:pPr>
        <w:spacing w:after="0" w:line="240" w:lineRule="auto"/>
        <w:ind w:firstLine="284"/>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b/>
          <w:color w:val="000000"/>
          <w:lang w:val="en-GB" w:eastAsia="en-GB"/>
        </w:rPr>
        <w:t xml:space="preserve">Economy of peace still far-off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It was realized that there were challenges of allowances unpaid or not regularly paid, huge disparities between payment made to foot soldiers and former militant commanders, limited access to rehabilitation training and allowances for those who surrender weapons after the deadline, inappropriate training provision, limited employment prospects, the absence of a broader political settlement involving the boarder Niger Delta population that has born the cost of conflict, and the politically motivated staffing of bodies responsible for implementing and coordinating the amnesty programme; all these are among the numerous flaws of the Amnesty. These flaws have also been the subject of violence protest throughout the Niger Delta states and beyond, many accompanied by threats of resumption of attacks on the oil industry and on key Federal Institutions by disgruntled ex-militants. The highly politicized nature of the amnesty process, over which political personalities form the Niger Delta fight, has also meant that although the flaws are real enough, protest have also been deliberately orchestrated to political purpose. </w:t>
      </w:r>
    </w:p>
    <w:p w:rsidR="00CC292E" w:rsidRPr="00CC292E" w:rsidRDefault="00CC292E" w:rsidP="00CC292E">
      <w:pPr>
        <w:spacing w:after="0" w:line="240" w:lineRule="auto"/>
        <w:ind w:firstLine="284"/>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b/>
          <w:color w:val="000000"/>
          <w:lang w:val="en-GB" w:eastAsia="en-GB"/>
        </w:rPr>
        <w:t xml:space="preserve"> </w:t>
      </w:r>
    </w:p>
    <w:p w:rsidR="00CC292E" w:rsidRPr="00CC292E" w:rsidRDefault="00CC292E" w:rsidP="00CC292E">
      <w:pPr>
        <w:spacing w:after="0" w:line="240" w:lineRule="auto"/>
        <w:ind w:firstLine="284"/>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b/>
          <w:color w:val="000000"/>
          <w:lang w:val="en-GB" w:eastAsia="en-GB"/>
        </w:rPr>
        <w:t xml:space="preserve">Rehabilitation but no reintegration </w:t>
      </w:r>
    </w:p>
    <w:p w:rsid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There are questions that often remain unanswered about the usefulness of the rehabilitation program’s skills training and career advice with wide spread complains that training falls short of expectations for high status internationally recognized qualifications that will equip former militants for employment opportunities on the production side of oil and gas industry.  </w:t>
      </w:r>
    </w:p>
    <w:p w:rsidR="00DB0E98" w:rsidRPr="00CC292E" w:rsidRDefault="00DB0E98" w:rsidP="00CC292E">
      <w:pPr>
        <w:spacing w:after="0" w:line="240" w:lineRule="auto"/>
        <w:ind w:firstLine="284"/>
        <w:jc w:val="both"/>
        <w:rPr>
          <w:rFonts w:ascii="Times New Roman" w:eastAsia="Times New Roman" w:hAnsi="Times New Roman" w:cs="Times New Roman"/>
          <w:color w:val="000000"/>
          <w:lang w:val="en-GB" w:eastAsia="en-GB"/>
        </w:rPr>
      </w:pPr>
    </w:p>
    <w:p w:rsidR="00CC292E" w:rsidRPr="00CC292E" w:rsidRDefault="00CC292E" w:rsidP="00CC292E">
      <w:pPr>
        <w:spacing w:after="0" w:line="240" w:lineRule="auto"/>
        <w:ind w:firstLine="284"/>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b/>
          <w:color w:val="000000"/>
          <w:lang w:val="en-GB" w:eastAsia="en-GB"/>
        </w:rPr>
        <w:t xml:space="preserve">Defective demobilization </w:t>
      </w:r>
    </w:p>
    <w:p w:rsid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It has also come to realization that during the 60 days demobilization and disarmament period, despite the spectacular displays orchestrated by the Rivers state and Bayelsa states governors, no independent verification of arms surrendered actually took place and many arms caches remain intact. Independent verification would have indicated provenance and may have raised more difficult questions about official suppliers. As in the past, arms for cash style pay offs may encourage further arms proliferation in a region of high porous badly policed borders. The possession of small arms continues to be common place throughout the Niger Delta and is linked in part to the poor regulation of oil and gas sector and the manner in which oil companies and politicians have for decades, armed youth groups to defend their interests. This has now backfire with devastating consequences on oil companies and the wider population. The decision to retain a sizable quantity of arms, in a context in which militants enjoyed little room for man oeuvre was a means of holding on to the tittle negotiation power they enjoyed, i.e. their ability to inflict damage on the oil industry. </w:t>
      </w:r>
    </w:p>
    <w:p w:rsidR="00DB0E98" w:rsidRPr="00CC292E" w:rsidRDefault="00DB0E98" w:rsidP="00CC292E">
      <w:pPr>
        <w:spacing w:after="0" w:line="240" w:lineRule="auto"/>
        <w:ind w:firstLine="284"/>
        <w:jc w:val="both"/>
        <w:rPr>
          <w:rFonts w:ascii="Times New Roman" w:eastAsia="Times New Roman" w:hAnsi="Times New Roman" w:cs="Times New Roman"/>
          <w:color w:val="000000"/>
          <w:lang w:val="en-GB" w:eastAsia="en-GB"/>
        </w:rPr>
      </w:pPr>
    </w:p>
    <w:p w:rsidR="00CC292E" w:rsidRPr="00CC292E" w:rsidRDefault="00CC292E" w:rsidP="00CC292E">
      <w:pPr>
        <w:spacing w:after="0" w:line="240" w:lineRule="auto"/>
        <w:ind w:firstLine="284"/>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b/>
          <w:color w:val="000000"/>
          <w:lang w:val="en-GB" w:eastAsia="en-GB"/>
        </w:rPr>
        <w:t>Oil bunkering</w:t>
      </w:r>
      <w:r w:rsidRPr="00CC292E">
        <w:rPr>
          <w:rFonts w:ascii="Times New Roman" w:eastAsia="Times New Roman" w:hAnsi="Times New Roman" w:cs="Times New Roman"/>
          <w:color w:val="000000"/>
          <w:lang w:val="en-GB" w:eastAsia="en-GB"/>
        </w:rPr>
        <w:t xml:space="preserve"> </w:t>
      </w:r>
    </w:p>
    <w:p w:rsid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Current estimates suggest the much expanded, but not new industry in stolen oil, is worth some 60 million USD / day. This includes small scale bunkering i.e. the illicit tapping of pipelines and wellheads for local refinement and sale, larger scale bunkering for sale to international partners, and the ‘legally lifted’ under invoiced oil that understates the amounts of oil actually lifted by faking bills of laden. Militant activity had provided an ‘enabling environment’ for this illicit activity, which had long been a feature of Nigeria’s oil economy, to thrive (though the scale of losses to the Nigerian treasury suggested it had got out of control – whose control?). The amnesty package, in targeting one layer of a highly intricate web, the ex-militants, has not even begun to tackle what is effectively a hornet’s nest. Whilst the oil theft trade has been reined in to some extent, it still continues. The chairman of the Amnesty panel, in May 2010, lamented losses of 1 million barrels per day since May 2009, costing the industry sources also note a sharp rise in bunkering the theft of industrial quantities of crude oil and illegal refining. In a speech in September 2012, the former Chairman of the Amnesty program, the Defense Minister, Rtd Major General Abbe, claimed that an amnesty for militants did not mean that the JTF would spare oil bunkers (as if militants could be separated out from oil bunkers as wheat from chaff). The amnesty in paying off militants, essentially took them out of the oil bunkering equation, giving the JTF, freer rein in controlling and policing access to the oil theft economy. Yet relying on the JTF to rein in the oil theft industry appears to overlook the role of the JTF in the oil bunkering business itself, and the centrality of oil bunkering to the conflicts between the JTF and armed groups in the Niger Delta. </w:t>
      </w:r>
    </w:p>
    <w:p w:rsidR="00DB0E98" w:rsidRPr="00CC292E" w:rsidRDefault="00DB0E98" w:rsidP="00CC292E">
      <w:pPr>
        <w:spacing w:after="0" w:line="240" w:lineRule="auto"/>
        <w:ind w:firstLine="284"/>
        <w:jc w:val="both"/>
        <w:rPr>
          <w:rFonts w:ascii="Times New Roman" w:eastAsia="Times New Roman" w:hAnsi="Times New Roman" w:cs="Times New Roman"/>
          <w:color w:val="000000"/>
          <w:lang w:val="en-GB" w:eastAsia="en-GB"/>
        </w:rPr>
      </w:pPr>
    </w:p>
    <w:p w:rsidR="00CC292E" w:rsidRPr="00CC292E" w:rsidRDefault="00CC292E" w:rsidP="00CC292E">
      <w:pPr>
        <w:spacing w:after="0" w:line="240" w:lineRule="auto"/>
        <w:ind w:firstLine="284"/>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b/>
          <w:color w:val="000000"/>
          <w:lang w:val="en-GB" w:eastAsia="en-GB"/>
        </w:rPr>
        <w:t xml:space="preserve">Competing Notions of Security in the Niger Delta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The insurgency ‘situation’ sharpened and institutionalized long established heterodox forms of ‘security provision’ (or ‘protection’) by local youth to oil companies. War, insurgency and the militarization of youth groups were indeed an attempt to use force to secure claims for the awarding of contracts to those designated by the leadership of the armed group in question, and to permit access to the lucrative illicit oil economy that they both afford. As stated in the official amnesty program website, among its desirable benefits was an increase in ‘revenues accruing to the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Federation account’, ‘business activities and foreign direct investment’. Reinforcing the role of the </w:t>
      </w:r>
    </w:p>
    <w:p w:rsid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JTF was seen as the principal vehicle for guaranteeing security for the oil and gas sector. The amnesty was a confirmation of Nigeria’s military supremacy over militants (as evidenced by the Gbaramatu adventure a month earlier), and of its desire to carve out its niche in security provision for the oil and gas sector. </w:t>
      </w:r>
      <w:bookmarkStart w:id="12" w:name="_Toc97233602"/>
    </w:p>
    <w:p w:rsidR="00DB0E98" w:rsidRPr="00CC292E" w:rsidRDefault="00DB0E98" w:rsidP="00CC292E">
      <w:pPr>
        <w:spacing w:after="0" w:line="240" w:lineRule="auto"/>
        <w:ind w:firstLine="284"/>
        <w:jc w:val="both"/>
        <w:rPr>
          <w:rFonts w:ascii="Times New Roman" w:eastAsia="Times New Roman" w:hAnsi="Times New Roman" w:cs="Times New Roman"/>
          <w:color w:val="000000"/>
          <w:lang w:val="en-GB" w:eastAsia="en-GB"/>
        </w:rPr>
      </w:pPr>
    </w:p>
    <w:p w:rsidR="00CC292E" w:rsidRPr="00CC292E" w:rsidRDefault="00CC292E" w:rsidP="00CC292E">
      <w:pPr>
        <w:spacing w:after="0" w:line="240" w:lineRule="auto"/>
        <w:ind w:firstLine="284"/>
        <w:jc w:val="both"/>
        <w:rPr>
          <w:rFonts w:ascii="Times New Roman" w:eastAsia="Times New Roman" w:hAnsi="Times New Roman" w:cs="Times New Roman"/>
          <w:b/>
          <w:bCs/>
          <w:color w:val="000000"/>
          <w:lang w:val="en-GB" w:eastAsia="en-GB"/>
        </w:rPr>
      </w:pPr>
      <w:r w:rsidRPr="00CC292E">
        <w:rPr>
          <w:rFonts w:ascii="Times New Roman" w:eastAsia="Times New Roman" w:hAnsi="Times New Roman" w:cs="Times New Roman"/>
          <w:b/>
          <w:bCs/>
          <w:color w:val="000000"/>
          <w:lang w:val="en-GB" w:eastAsia="en-GB"/>
        </w:rPr>
        <w:t>Conclusions</w:t>
      </w:r>
      <w:bookmarkEnd w:id="12"/>
      <w:r w:rsidRPr="00CC292E">
        <w:rPr>
          <w:rFonts w:ascii="Times New Roman" w:eastAsia="Times New Roman" w:hAnsi="Times New Roman" w:cs="Times New Roman"/>
          <w:b/>
          <w:bCs/>
          <w:color w:val="000000"/>
          <w:lang w:val="en-GB" w:eastAsia="en-GB"/>
        </w:rPr>
        <w:t xml:space="preserve">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It can be concluded from the study that the amnesty programme has succeeded in the prevention of youth militants from attacking the oil industry, kidnaping of expatriate’s oil company personnel and tapping and selling crude oil from the stock. The programme has also succeeded in providing technical training to the youth as a form of economic empowerment through different forms to ensure proper means of livelihood for the beneficiaries. This has brought a relative peace to the oil industry of the country leading to the increased generation of revenue. The oil production index which is a good indicator of the Amnesty programme also gains an increment through the declaration of amnesty resulting in development in the region. Several criticisms and challenges of this empowerment, it does not purely eradicate poverty as expected. This means the federal government has a lot at hand to do.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It can further be concluded that the government is financially committed to successful implementation of the integration component of the programme. However there has been too lavish expenditure on the programme which is attributed to the dimension of political liability to the government.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The programme was also coupled with many challenges such as incomplete peace maintenance in the region. This is due to the challenges of allowances unpaid or not regularly paid, limited access to rehabilitation training and allowances, inappropriate training provision, limited employment prospects, the absence of a broader political settlement and politically staffing of the bodies responsible for implementing and coordinating the programme which have been subject of violence protest throughout the region (Niger Delta). Other important challenges hindering the programme included the problem of rehabilitation but no integration, defective demonization, oil bunkering and competing notions of security in the Niger Delta. </w:t>
      </w:r>
    </w:p>
    <w:p w:rsid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In general a successive and effective implementation of an economic empowerment programme would yield effective results but should be paid the much attention in its implementation else it might lead to waste of resources. </w:t>
      </w:r>
    </w:p>
    <w:p w:rsidR="00DB0E98" w:rsidRPr="00CC292E" w:rsidRDefault="00DB0E98" w:rsidP="00CC292E">
      <w:pPr>
        <w:spacing w:after="0" w:line="240" w:lineRule="auto"/>
        <w:ind w:firstLine="284"/>
        <w:jc w:val="both"/>
        <w:rPr>
          <w:rFonts w:ascii="Times New Roman" w:eastAsia="Times New Roman" w:hAnsi="Times New Roman" w:cs="Times New Roman"/>
          <w:color w:val="000000"/>
          <w:lang w:val="en-GB" w:eastAsia="en-GB"/>
        </w:rPr>
      </w:pPr>
    </w:p>
    <w:p w:rsidR="00CC292E" w:rsidRPr="00CC292E" w:rsidRDefault="00CC292E" w:rsidP="00CC292E">
      <w:pPr>
        <w:keepNext/>
        <w:keepLines/>
        <w:spacing w:after="0" w:line="240" w:lineRule="auto"/>
        <w:ind w:firstLine="284"/>
        <w:outlineLvl w:val="0"/>
        <w:rPr>
          <w:rFonts w:ascii="Times New Roman" w:eastAsia="Times New Roman" w:hAnsi="Times New Roman" w:cs="Times New Roman"/>
          <w:b/>
          <w:color w:val="000000"/>
          <w:lang w:val="en-GB" w:eastAsia="en-GB"/>
        </w:rPr>
      </w:pPr>
      <w:bookmarkStart w:id="13" w:name="_Toc97233603"/>
      <w:r w:rsidRPr="00CC292E">
        <w:rPr>
          <w:rFonts w:ascii="Times New Roman" w:eastAsia="Times New Roman" w:hAnsi="Times New Roman" w:cs="Times New Roman"/>
          <w:b/>
          <w:color w:val="000000"/>
          <w:lang w:val="en-GB" w:eastAsia="en-GB"/>
        </w:rPr>
        <w:t>Recommendations</w:t>
      </w:r>
      <w:bookmarkEnd w:id="13"/>
      <w:r w:rsidRPr="00CC292E">
        <w:rPr>
          <w:rFonts w:ascii="Times New Roman" w:eastAsia="Times New Roman" w:hAnsi="Times New Roman" w:cs="Times New Roman"/>
          <w:b/>
          <w:color w:val="000000"/>
          <w:lang w:val="en-GB" w:eastAsia="en-GB"/>
        </w:rPr>
        <w:t xml:space="preserve">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The Federal government should provide funds to the beneficiaries of the programme to establish their own businesses or provide them with job opportunities since unemployment of the graduates can push them back to the creeks. There should also be a fair selection of personnel constituting the bodies responsible for the programme to ensure non-political issues in the successful implementation of the programme.  </w:t>
      </w:r>
    </w:p>
    <w:p w:rsidR="00CC292E" w:rsidRPr="00CC292E" w:rsidRDefault="00CC292E" w:rsidP="00CC292E">
      <w:pPr>
        <w:spacing w:after="0" w:line="240" w:lineRule="auto"/>
        <w:ind w:firstLine="284"/>
        <w:jc w:val="both"/>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A well research should be carried out in to the labour market to identify sectors of the economy especially the manufacturing sectors who needed more labour force so as to design training courses of the programme that suite such sectors for ease in employment. </w:t>
      </w:r>
    </w:p>
    <w:p w:rsidR="00CC292E" w:rsidRDefault="00CC292E" w:rsidP="00CC292E">
      <w:pPr>
        <w:spacing w:after="0" w:line="240" w:lineRule="auto"/>
        <w:ind w:firstLine="284"/>
        <w:rPr>
          <w:rFonts w:ascii="Times New Roman" w:eastAsia="Times New Roman" w:hAnsi="Times New Roman" w:cs="Times New Roman"/>
          <w:color w:val="000000"/>
          <w:lang w:val="en-GB" w:eastAsia="en-GB"/>
        </w:rPr>
      </w:pPr>
      <w:r w:rsidRPr="00CC292E">
        <w:rPr>
          <w:rFonts w:ascii="Times New Roman" w:eastAsia="Times New Roman" w:hAnsi="Times New Roman" w:cs="Times New Roman"/>
          <w:color w:val="000000"/>
          <w:lang w:val="en-GB" w:eastAsia="en-GB"/>
        </w:rPr>
        <w:t xml:space="preserve"> </w:t>
      </w:r>
    </w:p>
    <w:p w:rsidR="00DB0E98" w:rsidRPr="00CC292E" w:rsidRDefault="00DB0E98" w:rsidP="00CC292E">
      <w:pPr>
        <w:spacing w:after="0" w:line="240" w:lineRule="auto"/>
        <w:ind w:firstLine="284"/>
        <w:rPr>
          <w:rFonts w:ascii="Times New Roman" w:eastAsia="Times New Roman" w:hAnsi="Times New Roman" w:cs="Times New Roman"/>
          <w:color w:val="000000"/>
          <w:lang w:val="en-GB" w:eastAsia="en-GB"/>
        </w:rPr>
      </w:pPr>
    </w:p>
    <w:p w:rsidR="00CC292E" w:rsidRPr="00CC292E" w:rsidRDefault="00CC292E" w:rsidP="00CC292E">
      <w:pPr>
        <w:keepNext/>
        <w:keepLines/>
        <w:spacing w:after="0" w:line="240" w:lineRule="auto"/>
        <w:ind w:firstLine="284"/>
        <w:outlineLvl w:val="0"/>
        <w:rPr>
          <w:rFonts w:ascii="Times New Roman" w:eastAsia="Times New Roman" w:hAnsi="Times New Roman" w:cs="Times New Roman"/>
          <w:b/>
          <w:color w:val="000000"/>
          <w:lang w:val="en-GB" w:eastAsia="en-GB"/>
        </w:rPr>
      </w:pPr>
      <w:bookmarkStart w:id="14" w:name="_Toc97233604"/>
      <w:r w:rsidRPr="00CC292E">
        <w:rPr>
          <w:rFonts w:ascii="Times New Roman" w:eastAsia="Times New Roman" w:hAnsi="Times New Roman" w:cs="Times New Roman"/>
          <w:b/>
          <w:color w:val="000000"/>
          <w:lang w:val="en-GB" w:eastAsia="en-GB"/>
        </w:rPr>
        <w:t>References</w:t>
      </w:r>
      <w:bookmarkEnd w:id="14"/>
      <w:r w:rsidRPr="00CC292E">
        <w:rPr>
          <w:rFonts w:ascii="Times New Roman" w:eastAsia="Times New Roman" w:hAnsi="Times New Roman" w:cs="Times New Roman"/>
          <w:b/>
          <w:color w:val="000000"/>
          <w:lang w:val="en-GB" w:eastAsia="en-GB"/>
        </w:rPr>
        <w:t xml:space="preserve"> </w:t>
      </w:r>
    </w:p>
    <w:p w:rsidR="00CC292E" w:rsidRPr="00DB0E98" w:rsidRDefault="00CC292E" w:rsidP="00DB0E98">
      <w:pPr>
        <w:numPr>
          <w:ilvl w:val="0"/>
          <w:numId w:val="14"/>
        </w:numPr>
        <w:spacing w:after="0" w:line="240" w:lineRule="auto"/>
        <w:ind w:left="284" w:hanging="284"/>
        <w:jc w:val="both"/>
        <w:rPr>
          <w:rFonts w:ascii="Times New Roman" w:eastAsia="Times New Roman" w:hAnsi="Times New Roman" w:cs="Times New Roman"/>
          <w:color w:val="000000"/>
          <w:sz w:val="20"/>
          <w:szCs w:val="20"/>
          <w:lang w:val="en-GB" w:eastAsia="en-GB"/>
        </w:rPr>
      </w:pPr>
      <w:r w:rsidRPr="00DB0E98">
        <w:rPr>
          <w:rFonts w:ascii="Times New Roman" w:eastAsia="Times New Roman" w:hAnsi="Times New Roman" w:cs="Times New Roman"/>
          <w:color w:val="000000"/>
          <w:sz w:val="20"/>
          <w:szCs w:val="20"/>
          <w:lang w:val="en-GB" w:eastAsia="en-GB"/>
        </w:rPr>
        <w:t>Adams, John A. (2004) “Revisiting the Critical Issue of Poverty Alleviation Administration</w:t>
      </w:r>
      <w:r w:rsidR="00DB0E98" w:rsidRPr="00DB0E98">
        <w:rPr>
          <w:rFonts w:ascii="Times New Roman" w:eastAsia="Times New Roman" w:hAnsi="Times New Roman" w:cs="Times New Roman"/>
          <w:color w:val="000000"/>
          <w:sz w:val="20"/>
          <w:szCs w:val="20"/>
          <w:lang w:val="en-GB" w:eastAsia="en-GB"/>
        </w:rPr>
        <w:t xml:space="preserve"> </w:t>
      </w:r>
      <w:r w:rsidRPr="00DB0E98">
        <w:rPr>
          <w:rFonts w:ascii="Times New Roman" w:eastAsia="Times New Roman" w:hAnsi="Times New Roman" w:cs="Times New Roman"/>
          <w:color w:val="000000"/>
          <w:sz w:val="20"/>
          <w:szCs w:val="20"/>
          <w:lang w:val="en-GB" w:eastAsia="en-GB"/>
        </w:rPr>
        <w:t xml:space="preserve">in Nigeria’s Local Government Areas”, in Nigerian Local Government and Rural Development Administration: A Reader, ed. Duru, Emmanuel Joseph Chukwuma. Onitsha and Calabar: Cymart Ventures, 52 – 61. </w:t>
      </w:r>
    </w:p>
    <w:p w:rsidR="00CC292E" w:rsidRPr="00DB0E98" w:rsidRDefault="00CC292E" w:rsidP="00DB0E98">
      <w:pPr>
        <w:numPr>
          <w:ilvl w:val="0"/>
          <w:numId w:val="14"/>
        </w:numPr>
        <w:spacing w:after="0" w:line="240" w:lineRule="auto"/>
        <w:ind w:left="284" w:hanging="284"/>
        <w:jc w:val="both"/>
        <w:rPr>
          <w:rFonts w:ascii="Times New Roman" w:eastAsia="Times New Roman" w:hAnsi="Times New Roman" w:cs="Times New Roman"/>
          <w:color w:val="000000"/>
          <w:sz w:val="20"/>
          <w:szCs w:val="20"/>
          <w:lang w:val="en-GB" w:eastAsia="en-GB"/>
        </w:rPr>
      </w:pPr>
      <w:r w:rsidRPr="00DB0E98">
        <w:rPr>
          <w:rFonts w:ascii="Times New Roman" w:eastAsia="Times New Roman" w:hAnsi="Times New Roman" w:cs="Times New Roman"/>
          <w:color w:val="000000"/>
          <w:sz w:val="20"/>
          <w:szCs w:val="20"/>
          <w:lang w:val="en-GB" w:eastAsia="en-GB"/>
        </w:rPr>
        <w:t xml:space="preserve">Afigbo, A.E. (1989) “History and National Development in Nigeria”, Nigeria Defense Academy Journal Vol 1 No 52. </w:t>
      </w:r>
    </w:p>
    <w:p w:rsidR="00CC292E" w:rsidRPr="00DB0E98" w:rsidRDefault="00CC292E" w:rsidP="00DB0E98">
      <w:pPr>
        <w:numPr>
          <w:ilvl w:val="0"/>
          <w:numId w:val="14"/>
        </w:numPr>
        <w:spacing w:after="0" w:line="240" w:lineRule="auto"/>
        <w:ind w:left="284" w:hanging="284"/>
        <w:jc w:val="both"/>
        <w:rPr>
          <w:rFonts w:ascii="Times New Roman" w:eastAsia="Times New Roman" w:hAnsi="Times New Roman" w:cs="Times New Roman"/>
          <w:color w:val="000000"/>
          <w:sz w:val="20"/>
          <w:szCs w:val="20"/>
          <w:lang w:val="en-GB" w:eastAsia="en-GB"/>
        </w:rPr>
      </w:pPr>
      <w:r w:rsidRPr="00DB0E98">
        <w:rPr>
          <w:rFonts w:ascii="Times New Roman" w:eastAsia="Times New Roman" w:hAnsi="Times New Roman" w:cs="Times New Roman"/>
          <w:color w:val="000000"/>
          <w:sz w:val="20"/>
          <w:szCs w:val="20"/>
          <w:lang w:val="en-GB" w:eastAsia="en-GB"/>
        </w:rPr>
        <w:t xml:space="preserve">Agbor, Uno-Ijim. 2005. “Poverty and Poverty Reduction in Nigeria: The Path We Did Not Take,” Calabar Journal of Politics and Administration. 3(1): 58 -71 August -December </w:t>
      </w:r>
    </w:p>
    <w:p w:rsidR="00CC292E" w:rsidRPr="00DB0E98" w:rsidRDefault="00CC292E" w:rsidP="00DB0E98">
      <w:pPr>
        <w:numPr>
          <w:ilvl w:val="0"/>
          <w:numId w:val="14"/>
        </w:numPr>
        <w:spacing w:after="0" w:line="240" w:lineRule="auto"/>
        <w:ind w:left="284" w:hanging="284"/>
        <w:jc w:val="both"/>
        <w:rPr>
          <w:rFonts w:ascii="Times New Roman" w:eastAsia="Times New Roman" w:hAnsi="Times New Roman" w:cs="Times New Roman"/>
          <w:color w:val="000000"/>
          <w:sz w:val="20"/>
          <w:szCs w:val="20"/>
          <w:lang w:val="en-GB" w:eastAsia="en-GB"/>
        </w:rPr>
      </w:pPr>
      <w:r w:rsidRPr="00DB0E98">
        <w:rPr>
          <w:rFonts w:ascii="Times New Roman" w:eastAsia="Times New Roman" w:hAnsi="Times New Roman" w:cs="Times New Roman"/>
          <w:color w:val="000000"/>
          <w:sz w:val="20"/>
          <w:szCs w:val="20"/>
          <w:lang w:val="en-GB" w:eastAsia="en-GB"/>
        </w:rPr>
        <w:t xml:space="preserve">Aigbokhan, B.E. (2000) “Poverty, Growth and Inequality in Nigeria”, A Case Study. African Economic Research Consortium (AERC). Nairobi, Kenya. </w:t>
      </w:r>
    </w:p>
    <w:p w:rsidR="00CC292E" w:rsidRPr="00DB0E98" w:rsidRDefault="00CC292E" w:rsidP="00DB0E98">
      <w:pPr>
        <w:numPr>
          <w:ilvl w:val="0"/>
          <w:numId w:val="14"/>
        </w:numPr>
        <w:spacing w:after="0" w:line="240" w:lineRule="auto"/>
        <w:ind w:left="284" w:hanging="284"/>
        <w:jc w:val="both"/>
        <w:rPr>
          <w:rFonts w:ascii="Times New Roman" w:eastAsia="Times New Roman" w:hAnsi="Times New Roman" w:cs="Times New Roman"/>
          <w:color w:val="000000"/>
          <w:sz w:val="20"/>
          <w:szCs w:val="20"/>
          <w:lang w:val="en-GB" w:eastAsia="en-GB"/>
        </w:rPr>
      </w:pPr>
      <w:r w:rsidRPr="00DB0E98">
        <w:rPr>
          <w:rFonts w:ascii="Times New Roman" w:eastAsia="Times New Roman" w:hAnsi="Times New Roman" w:cs="Times New Roman"/>
          <w:color w:val="000000"/>
          <w:sz w:val="20"/>
          <w:szCs w:val="20"/>
          <w:lang w:val="en-GB" w:eastAsia="en-GB"/>
        </w:rPr>
        <w:t xml:space="preserve">Akeredolu-Ale. (1975) “Poverty as a Social Issue: A Theoretical Note”, the Nigerian Economic Society, Ibadan. </w:t>
      </w:r>
      <w:r w:rsidRPr="00DB0E98">
        <w:rPr>
          <w:rFonts w:ascii="Times New Roman" w:eastAsia="Times New Roman" w:hAnsi="Times New Roman" w:cs="Times New Roman"/>
          <w:color w:val="000000"/>
          <w:sz w:val="20"/>
          <w:szCs w:val="20"/>
          <w:lang w:val="en-GB" w:eastAsia="en-GB"/>
        </w:rPr>
        <w:tab/>
      </w:r>
    </w:p>
    <w:p w:rsidR="00CC292E" w:rsidRPr="00DB0E98" w:rsidRDefault="00CC292E" w:rsidP="00DB0E98">
      <w:pPr>
        <w:numPr>
          <w:ilvl w:val="0"/>
          <w:numId w:val="14"/>
        </w:numPr>
        <w:spacing w:after="0" w:line="240" w:lineRule="auto"/>
        <w:ind w:left="284" w:hanging="284"/>
        <w:jc w:val="both"/>
        <w:rPr>
          <w:rFonts w:ascii="Times New Roman" w:eastAsia="Times New Roman" w:hAnsi="Times New Roman" w:cs="Times New Roman"/>
          <w:color w:val="000000"/>
          <w:sz w:val="20"/>
          <w:szCs w:val="20"/>
          <w:lang w:val="en-GB" w:eastAsia="en-GB"/>
        </w:rPr>
      </w:pPr>
      <w:r w:rsidRPr="00DB0E98">
        <w:rPr>
          <w:rFonts w:ascii="Times New Roman" w:eastAsia="Times New Roman" w:hAnsi="Times New Roman" w:cs="Times New Roman"/>
          <w:color w:val="000000"/>
          <w:sz w:val="20"/>
          <w:szCs w:val="20"/>
          <w:lang w:val="en-GB" w:eastAsia="en-GB"/>
        </w:rPr>
        <w:t xml:space="preserve">Budget Office of the Federation. (2012) “2012 Second Quarter Budget Implementation Report”, Federal Ministry of Finance, Abuja. </w:t>
      </w:r>
    </w:p>
    <w:p w:rsidR="00CC292E" w:rsidRPr="00DB0E98" w:rsidRDefault="00CC292E" w:rsidP="00DB0E98">
      <w:pPr>
        <w:numPr>
          <w:ilvl w:val="0"/>
          <w:numId w:val="14"/>
        </w:numPr>
        <w:spacing w:after="0" w:line="240" w:lineRule="auto"/>
        <w:ind w:left="284" w:hanging="284"/>
        <w:jc w:val="both"/>
        <w:rPr>
          <w:rFonts w:ascii="Times New Roman" w:eastAsia="Times New Roman" w:hAnsi="Times New Roman" w:cs="Times New Roman"/>
          <w:color w:val="000000"/>
          <w:sz w:val="20"/>
          <w:szCs w:val="20"/>
          <w:lang w:val="en-GB" w:eastAsia="en-GB"/>
        </w:rPr>
      </w:pPr>
      <w:r w:rsidRPr="00DB0E98">
        <w:rPr>
          <w:rFonts w:ascii="Times New Roman" w:eastAsia="Times New Roman" w:hAnsi="Times New Roman" w:cs="Times New Roman"/>
          <w:color w:val="000000"/>
          <w:sz w:val="20"/>
          <w:szCs w:val="20"/>
          <w:lang w:val="en-GB" w:eastAsia="en-GB"/>
        </w:rPr>
        <w:t xml:space="preserve">Canagarajah, Suresh, et al. (2000) “Nigeria’s Poverty: Past, Present, and Future”, Abuja: World Bank Country Development </w:t>
      </w:r>
    </w:p>
    <w:p w:rsidR="00CC292E" w:rsidRPr="00DB0E98" w:rsidRDefault="00CC292E" w:rsidP="00DB0E98">
      <w:pPr>
        <w:numPr>
          <w:ilvl w:val="0"/>
          <w:numId w:val="14"/>
        </w:numPr>
        <w:spacing w:after="0" w:line="240" w:lineRule="auto"/>
        <w:ind w:left="284" w:hanging="284"/>
        <w:jc w:val="both"/>
        <w:rPr>
          <w:rFonts w:ascii="Times New Roman" w:eastAsia="Times New Roman" w:hAnsi="Times New Roman" w:cs="Times New Roman"/>
          <w:color w:val="000000"/>
          <w:sz w:val="20"/>
          <w:szCs w:val="20"/>
          <w:lang w:val="en-GB" w:eastAsia="en-GB"/>
        </w:rPr>
      </w:pPr>
      <w:r w:rsidRPr="00DB0E98">
        <w:rPr>
          <w:rFonts w:ascii="Times New Roman" w:eastAsia="Times New Roman" w:hAnsi="Times New Roman" w:cs="Times New Roman"/>
          <w:color w:val="000000"/>
          <w:sz w:val="20"/>
          <w:szCs w:val="20"/>
          <w:lang w:val="en-GB" w:eastAsia="en-GB"/>
        </w:rPr>
        <w:t xml:space="preserve">DFID (1995) “Guidance note on how to do stakeholder analysis of aid projects and programmes” </w:t>
      </w:r>
    </w:p>
    <w:p w:rsidR="00CC292E" w:rsidRPr="00DB0E98" w:rsidRDefault="00CC292E" w:rsidP="00DB0E98">
      <w:pPr>
        <w:numPr>
          <w:ilvl w:val="0"/>
          <w:numId w:val="14"/>
        </w:numPr>
        <w:spacing w:after="0" w:line="240" w:lineRule="auto"/>
        <w:ind w:left="284" w:hanging="284"/>
        <w:jc w:val="both"/>
        <w:rPr>
          <w:rFonts w:ascii="Times New Roman" w:eastAsia="Times New Roman" w:hAnsi="Times New Roman" w:cs="Times New Roman"/>
          <w:color w:val="000000"/>
          <w:sz w:val="20"/>
          <w:szCs w:val="20"/>
          <w:lang w:val="en-GB" w:eastAsia="en-GB"/>
        </w:rPr>
      </w:pPr>
      <w:r w:rsidRPr="00DB0E98">
        <w:rPr>
          <w:rFonts w:ascii="Times New Roman" w:eastAsia="Times New Roman" w:hAnsi="Times New Roman" w:cs="Times New Roman"/>
          <w:color w:val="000000"/>
          <w:sz w:val="20"/>
          <w:szCs w:val="20"/>
          <w:lang w:val="en-GB" w:eastAsia="en-GB"/>
        </w:rPr>
        <w:t xml:space="preserve">Ekanem, Okonette. (2004) “The Futility of Imposed Methodology in Nigeria’s Rural Development Analysis”, in Nigerian Local Government and Rural Development Administration: A reader, ed. Duru, Emmanuel Joseph Chukwuma, Calabar and Onitsha: Cymart Ventures, 245 – 270 </w:t>
      </w:r>
    </w:p>
    <w:p w:rsidR="00CC292E" w:rsidRPr="00DB0E98" w:rsidRDefault="00CC292E" w:rsidP="00DB0E98">
      <w:pPr>
        <w:numPr>
          <w:ilvl w:val="0"/>
          <w:numId w:val="14"/>
        </w:numPr>
        <w:tabs>
          <w:tab w:val="left" w:pos="426"/>
        </w:tabs>
        <w:spacing w:after="0" w:line="240" w:lineRule="auto"/>
        <w:ind w:left="284" w:hanging="284"/>
        <w:jc w:val="both"/>
        <w:rPr>
          <w:rFonts w:ascii="Times New Roman" w:eastAsia="Times New Roman" w:hAnsi="Times New Roman" w:cs="Times New Roman"/>
          <w:color w:val="000000"/>
          <w:sz w:val="20"/>
          <w:szCs w:val="20"/>
          <w:lang w:val="en-GB" w:eastAsia="en-GB"/>
        </w:rPr>
      </w:pPr>
      <w:r w:rsidRPr="00DB0E98">
        <w:rPr>
          <w:rFonts w:ascii="Times New Roman" w:eastAsia="Times New Roman" w:hAnsi="Times New Roman" w:cs="Times New Roman"/>
          <w:color w:val="000000"/>
          <w:sz w:val="20"/>
          <w:szCs w:val="20"/>
          <w:lang w:val="en-GB" w:eastAsia="en-GB"/>
        </w:rPr>
        <w:t xml:space="preserve">Narayan Deepa and Petesch Patti. (2007) “Moving Out of Poverty: Cross-Disciplinary Perspectives on Mobility”, New York: The World Bank and Palgrave Macmillan Newswatch, August 10, 2000 </w:t>
      </w:r>
    </w:p>
    <w:p w:rsidR="00CC292E" w:rsidRPr="00DB0E98" w:rsidRDefault="00CC292E" w:rsidP="00DB0E98">
      <w:pPr>
        <w:numPr>
          <w:ilvl w:val="0"/>
          <w:numId w:val="14"/>
        </w:numPr>
        <w:tabs>
          <w:tab w:val="left" w:pos="426"/>
        </w:tabs>
        <w:spacing w:after="0" w:line="240" w:lineRule="auto"/>
        <w:ind w:left="284" w:hanging="284"/>
        <w:jc w:val="both"/>
        <w:rPr>
          <w:rFonts w:ascii="Times New Roman" w:eastAsia="Times New Roman" w:hAnsi="Times New Roman" w:cs="Times New Roman"/>
          <w:color w:val="000000"/>
          <w:sz w:val="20"/>
          <w:szCs w:val="20"/>
          <w:lang w:val="en-GB" w:eastAsia="en-GB"/>
        </w:rPr>
      </w:pPr>
      <w:r w:rsidRPr="00DB0E98">
        <w:rPr>
          <w:rFonts w:ascii="Times New Roman" w:eastAsia="Times New Roman" w:hAnsi="Times New Roman" w:cs="Times New Roman"/>
          <w:color w:val="000000"/>
          <w:sz w:val="20"/>
          <w:szCs w:val="20"/>
          <w:lang w:val="en-GB" w:eastAsia="en-GB"/>
        </w:rPr>
        <w:t xml:space="preserve">NBS (2011) “the Nigeria Poverty Profile 2010 Report of the National Bureau of Statistics Harmonized Nigeria Living Standard Survey (HNLSS). </w:t>
      </w:r>
    </w:p>
    <w:p w:rsidR="00CC292E" w:rsidRPr="00DB0E98" w:rsidRDefault="00CC292E" w:rsidP="00DB0E98">
      <w:pPr>
        <w:numPr>
          <w:ilvl w:val="0"/>
          <w:numId w:val="14"/>
        </w:numPr>
        <w:tabs>
          <w:tab w:val="left" w:pos="426"/>
        </w:tabs>
        <w:spacing w:after="0" w:line="240" w:lineRule="auto"/>
        <w:ind w:left="284" w:hanging="284"/>
        <w:jc w:val="both"/>
        <w:rPr>
          <w:rFonts w:ascii="Times New Roman" w:eastAsia="Times New Roman" w:hAnsi="Times New Roman" w:cs="Times New Roman"/>
          <w:color w:val="000000"/>
          <w:sz w:val="20"/>
          <w:szCs w:val="20"/>
          <w:lang w:val="en-GB" w:eastAsia="en-GB"/>
        </w:rPr>
      </w:pPr>
      <w:r w:rsidRPr="00DB0E98">
        <w:rPr>
          <w:rFonts w:ascii="Times New Roman" w:eastAsia="Times New Roman" w:hAnsi="Times New Roman" w:cs="Times New Roman"/>
          <w:color w:val="000000"/>
          <w:sz w:val="20"/>
          <w:szCs w:val="20"/>
          <w:lang w:val="en-GB" w:eastAsia="en-GB"/>
        </w:rPr>
        <w:t xml:space="preserve">Obadan Michael. (1997) “Analytical Framework for Poverty Reduction: Issues of Economic Growth versus Other Strategies”, in Poverty Alleviation in Nigeria, Nigerian Economic Society, Ibadan </w:t>
      </w:r>
    </w:p>
    <w:p w:rsidR="00CC292E" w:rsidRPr="00DB0E98" w:rsidRDefault="00CC292E" w:rsidP="00DB0E98">
      <w:pPr>
        <w:numPr>
          <w:ilvl w:val="0"/>
          <w:numId w:val="14"/>
        </w:numPr>
        <w:tabs>
          <w:tab w:val="left" w:pos="426"/>
        </w:tabs>
        <w:spacing w:after="0" w:line="240" w:lineRule="auto"/>
        <w:ind w:left="284" w:hanging="284"/>
        <w:jc w:val="both"/>
        <w:rPr>
          <w:rFonts w:ascii="Times New Roman" w:eastAsia="Times New Roman" w:hAnsi="Times New Roman" w:cs="Times New Roman"/>
          <w:color w:val="000000"/>
          <w:sz w:val="20"/>
          <w:szCs w:val="20"/>
          <w:lang w:val="en-GB" w:eastAsia="en-GB"/>
        </w:rPr>
      </w:pPr>
      <w:r w:rsidRPr="00DB0E98">
        <w:rPr>
          <w:rFonts w:ascii="Times New Roman" w:eastAsia="Times New Roman" w:hAnsi="Times New Roman" w:cs="Times New Roman"/>
          <w:color w:val="000000"/>
          <w:sz w:val="20"/>
          <w:szCs w:val="20"/>
          <w:lang w:val="en-GB" w:eastAsia="en-GB"/>
        </w:rPr>
        <w:t xml:space="preserve">Ogwumike, F.O. (2005) “Needs and Challenges to Poverty Reduction in Nigeria”, CBN Economic &amp; financial review vol. 39, no.4. </w:t>
      </w:r>
    </w:p>
    <w:p w:rsidR="00CC292E" w:rsidRPr="00DB0E98" w:rsidRDefault="00CC292E" w:rsidP="00DB0E98">
      <w:pPr>
        <w:numPr>
          <w:ilvl w:val="0"/>
          <w:numId w:val="14"/>
        </w:numPr>
        <w:tabs>
          <w:tab w:val="left" w:pos="426"/>
        </w:tabs>
        <w:spacing w:after="0" w:line="240" w:lineRule="auto"/>
        <w:ind w:left="284" w:hanging="284"/>
        <w:jc w:val="both"/>
        <w:rPr>
          <w:rFonts w:ascii="Times New Roman" w:eastAsia="Times New Roman" w:hAnsi="Times New Roman" w:cs="Times New Roman"/>
          <w:color w:val="000000"/>
          <w:sz w:val="20"/>
          <w:szCs w:val="20"/>
          <w:lang w:val="en-GB" w:eastAsia="en-GB"/>
        </w:rPr>
      </w:pPr>
      <w:r w:rsidRPr="00DB0E98">
        <w:rPr>
          <w:rFonts w:ascii="Times New Roman" w:eastAsia="Times New Roman" w:hAnsi="Times New Roman" w:cs="Times New Roman"/>
          <w:color w:val="000000"/>
          <w:sz w:val="20"/>
          <w:szCs w:val="20"/>
          <w:lang w:val="en-GB" w:eastAsia="en-GB"/>
        </w:rPr>
        <w:t xml:space="preserve">Olaide, S.Olunfumi and Esang Sunday M. (1975) “Aspects of Rural Poverty in Nigeria: Implication for Policy”, in Poverty in Nigeria, NES Conference Proceedings Ibadan: Nigerian Economic Society. </w:t>
      </w:r>
    </w:p>
    <w:p w:rsidR="00CC292E" w:rsidRPr="00DB0E98" w:rsidRDefault="00CC292E" w:rsidP="00DB0E98">
      <w:pPr>
        <w:numPr>
          <w:ilvl w:val="0"/>
          <w:numId w:val="14"/>
        </w:numPr>
        <w:tabs>
          <w:tab w:val="left" w:pos="426"/>
        </w:tabs>
        <w:spacing w:after="0" w:line="240" w:lineRule="auto"/>
        <w:ind w:left="284" w:hanging="284"/>
        <w:jc w:val="both"/>
        <w:rPr>
          <w:rFonts w:ascii="Times New Roman" w:eastAsia="Times New Roman" w:hAnsi="Times New Roman" w:cs="Times New Roman"/>
          <w:sz w:val="20"/>
          <w:szCs w:val="20"/>
          <w:lang w:val="en-GB" w:eastAsia="en-GB"/>
        </w:rPr>
      </w:pPr>
      <w:r w:rsidRPr="00DB0E98">
        <w:rPr>
          <w:rFonts w:ascii="Times New Roman" w:eastAsia="Times New Roman" w:hAnsi="Times New Roman" w:cs="Times New Roman"/>
          <w:sz w:val="20"/>
          <w:szCs w:val="20"/>
          <w:lang w:val="en-GB" w:eastAsia="en-GB"/>
        </w:rPr>
        <w:t>Rural Poverty Portal. (2012) “Rural Poverty in Nigeria”, Retrieved from www.ruralpovertyportal</w:t>
      </w:r>
      <w:hyperlink r:id="rId8">
        <w:r w:rsidRPr="00DB0E98">
          <w:rPr>
            <w:rFonts w:ascii="Times New Roman" w:eastAsia="Times New Roman" w:hAnsi="Times New Roman" w:cs="Times New Roman"/>
            <w:sz w:val="20"/>
            <w:szCs w:val="20"/>
            <w:lang w:val="en-GB" w:eastAsia="en-GB"/>
          </w:rPr>
          <w:t>.</w:t>
        </w:r>
      </w:hyperlink>
      <w:r w:rsidRPr="00DB0E98">
        <w:rPr>
          <w:rFonts w:ascii="Times New Roman" w:eastAsia="Times New Roman" w:hAnsi="Times New Roman" w:cs="Times New Roman"/>
          <w:sz w:val="20"/>
          <w:szCs w:val="20"/>
          <w:lang w:val="en-GB" w:eastAsia="en-GB"/>
        </w:rPr>
        <w:t xml:space="preserve">org/country/hon, on November 9, 2012 </w:t>
      </w:r>
    </w:p>
    <w:p w:rsidR="00CC292E" w:rsidRPr="00DB0E98" w:rsidRDefault="00CC292E" w:rsidP="00DB0E98">
      <w:pPr>
        <w:numPr>
          <w:ilvl w:val="0"/>
          <w:numId w:val="14"/>
        </w:numPr>
        <w:tabs>
          <w:tab w:val="left" w:pos="426"/>
        </w:tabs>
        <w:spacing w:after="0" w:line="240" w:lineRule="auto"/>
        <w:ind w:left="284" w:hanging="284"/>
        <w:jc w:val="both"/>
        <w:rPr>
          <w:rFonts w:ascii="Times New Roman" w:eastAsia="Times New Roman" w:hAnsi="Times New Roman" w:cs="Times New Roman"/>
          <w:sz w:val="20"/>
          <w:szCs w:val="20"/>
          <w:lang w:val="en-GB" w:eastAsia="en-GB"/>
        </w:rPr>
      </w:pPr>
      <w:r w:rsidRPr="00DB0E98">
        <w:rPr>
          <w:rFonts w:ascii="Times New Roman" w:eastAsia="Times New Roman" w:hAnsi="Times New Roman" w:cs="Times New Roman"/>
          <w:sz w:val="20"/>
          <w:szCs w:val="20"/>
          <w:lang w:val="en-GB" w:eastAsia="en-GB"/>
        </w:rPr>
        <w:t xml:space="preserve">UNDP/CPED (2004) “Collaborative study on methodology for the participatory formulation of local government economic employment and development strategy (LEEDS) in local government areas (LGAS) in Nigeria.  </w:t>
      </w:r>
    </w:p>
    <w:p w:rsidR="00811203" w:rsidRPr="00DB0E98" w:rsidRDefault="00CC292E" w:rsidP="00DB0E98">
      <w:pPr>
        <w:numPr>
          <w:ilvl w:val="0"/>
          <w:numId w:val="14"/>
        </w:numPr>
        <w:tabs>
          <w:tab w:val="left" w:pos="426"/>
        </w:tabs>
        <w:spacing w:after="0" w:line="240" w:lineRule="auto"/>
        <w:ind w:left="284" w:hanging="284"/>
        <w:jc w:val="both"/>
        <w:rPr>
          <w:rFonts w:ascii="Times New Roman" w:eastAsia="Times New Roman" w:hAnsi="Times New Roman" w:cs="Times New Roman"/>
          <w:color w:val="000000"/>
          <w:sz w:val="20"/>
          <w:szCs w:val="20"/>
          <w:lang w:val="en-GB" w:eastAsia="en-GB"/>
        </w:rPr>
      </w:pPr>
      <w:r w:rsidRPr="00DB0E98">
        <w:rPr>
          <w:rFonts w:ascii="Times New Roman" w:eastAsia="Times New Roman" w:hAnsi="Times New Roman" w:cs="Times New Roman"/>
          <w:sz w:val="20"/>
          <w:szCs w:val="20"/>
          <w:lang w:val="en-GB" w:eastAsia="en-GB"/>
        </w:rPr>
        <w:t>United Nations Development Programme (2006) “Human Development Report Beyond Scarcity”, Power, Poverty and the Global Water Crisis.‘ UNDP, New York. (http://hdr.undp.org/</w:t>
      </w:r>
      <w:hyperlink r:id="rId9">
        <w:r w:rsidRPr="00DB0E98">
          <w:rPr>
            <w:rFonts w:ascii="Times New Roman" w:eastAsia="Times New Roman" w:hAnsi="Times New Roman" w:cs="Times New Roman"/>
            <w:color w:val="000000"/>
            <w:sz w:val="20"/>
            <w:szCs w:val="20"/>
            <w:lang w:val="en-GB" w:eastAsia="en-GB"/>
          </w:rPr>
          <w:t>)</w:t>
        </w:r>
      </w:hyperlink>
      <w:r w:rsidRPr="00DB0E98">
        <w:rPr>
          <w:rFonts w:ascii="Times New Roman" w:eastAsia="Times New Roman" w:hAnsi="Times New Roman" w:cs="Times New Roman"/>
          <w:color w:val="000000"/>
          <w:sz w:val="20"/>
          <w:szCs w:val="20"/>
          <w:lang w:val="en-GB" w:eastAsia="en-GB"/>
        </w:rPr>
        <w:t xml:space="preserve"> World Bank (1990) Development Report, Oxford: Oxford University Press</w:t>
      </w:r>
    </w:p>
    <w:sectPr w:rsidR="00811203" w:rsidRPr="00DB0E98">
      <w:headerReference w:type="even" r:id="rId10"/>
      <w:headerReference w:type="default" r:id="rId11"/>
      <w:footerReference w:type="even" r:id="rId12"/>
      <w:footerReference w:type="default" r:id="rId13"/>
      <w:footnotePr>
        <w:pos w:val="beneathText"/>
      </w:footnotePr>
      <w:pgSz w:w="9639" w:h="13325" w:code="1"/>
      <w:pgMar w:top="851" w:right="1134" w:bottom="851" w:left="1134" w:header="709" w:footer="794" w:gutter="0"/>
      <w:pgNumType w:start="95"/>
      <w:cols w:space="720"/>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B3B" w:rsidRDefault="00273B3B" w:rsidP="00811203">
      <w:pPr>
        <w:spacing w:after="0" w:line="240" w:lineRule="auto"/>
      </w:pPr>
      <w:r>
        <w:separator/>
      </w:r>
    </w:p>
  </w:endnote>
  <w:endnote w:type="continuationSeparator" w:id="0">
    <w:p w:rsidR="00273B3B" w:rsidRDefault="00273B3B" w:rsidP="008112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liss Pro Light">
    <w:altName w:val="Bliss Pro Light"/>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370" w:rsidRDefault="00CC3370">
    <w:pPr>
      <w:pStyle w:val="Footer"/>
      <w:framePr w:wrap="around" w:vAnchor="text" w:hAnchor="margin" w:xAlign="outside" w:y="1"/>
      <w:spacing w:after="0" w:line="240" w:lineRule="auto"/>
      <w:rPr>
        <w:rStyle w:val="PageNumbe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PAGE  </w:instrText>
    </w:r>
    <w:r>
      <w:rPr>
        <w:rStyle w:val="PageNumber"/>
        <w:rFonts w:ascii="Times New Roman" w:hAnsi="Times New Roman"/>
        <w:sz w:val="20"/>
      </w:rPr>
      <w:fldChar w:fldCharType="separate"/>
    </w:r>
    <w:r w:rsidR="0066677A">
      <w:rPr>
        <w:rStyle w:val="PageNumber"/>
        <w:rFonts w:ascii="Times New Roman" w:hAnsi="Times New Roman"/>
        <w:noProof/>
        <w:sz w:val="20"/>
      </w:rPr>
      <w:t>96</w:t>
    </w:r>
    <w:r>
      <w:rPr>
        <w:rStyle w:val="PageNumber"/>
        <w:rFonts w:ascii="Times New Roman" w:hAnsi="Times New Roman"/>
        <w:sz w:val="20"/>
      </w:rPr>
      <w:fldChar w:fldCharType="end"/>
    </w:r>
  </w:p>
  <w:p w:rsidR="00CC3370" w:rsidRDefault="00CC3370">
    <w:pPr>
      <w:spacing w:after="0" w:line="240" w:lineRule="auto"/>
      <w:rPr>
        <w:rFonts w:ascii="Times New Roman" w:hAnsi="Times New Roman"/>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370" w:rsidRDefault="00CC3370">
    <w:pPr>
      <w:pStyle w:val="Footer"/>
      <w:framePr w:wrap="around" w:vAnchor="text" w:hAnchor="margin" w:xAlign="outside" w:y="1"/>
      <w:spacing w:after="0" w:line="240" w:lineRule="auto"/>
      <w:rPr>
        <w:rStyle w:val="PageNumbe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PAGE  </w:instrText>
    </w:r>
    <w:r>
      <w:rPr>
        <w:rStyle w:val="PageNumber"/>
        <w:rFonts w:ascii="Times New Roman" w:hAnsi="Times New Roman"/>
        <w:sz w:val="20"/>
      </w:rPr>
      <w:fldChar w:fldCharType="separate"/>
    </w:r>
    <w:r w:rsidR="00273B3B">
      <w:rPr>
        <w:rStyle w:val="PageNumber"/>
        <w:rFonts w:ascii="Times New Roman" w:hAnsi="Times New Roman"/>
        <w:noProof/>
        <w:sz w:val="20"/>
      </w:rPr>
      <w:t>95</w:t>
    </w:r>
    <w:r>
      <w:rPr>
        <w:rStyle w:val="PageNumber"/>
        <w:rFonts w:ascii="Times New Roman" w:hAnsi="Times New Roman"/>
        <w:sz w:val="20"/>
      </w:rPr>
      <w:fldChar w:fldCharType="end"/>
    </w:r>
  </w:p>
  <w:p w:rsidR="00CC3370" w:rsidRDefault="00CC3370">
    <w:pPr>
      <w:spacing w:after="0" w:line="240" w:lineRule="auto"/>
      <w:rPr>
        <w:rFonts w:ascii="Times New Roman" w:hAnsi="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B3B" w:rsidRDefault="00273B3B" w:rsidP="00811203">
      <w:pPr>
        <w:spacing w:after="0" w:line="240" w:lineRule="auto"/>
      </w:pPr>
      <w:r>
        <w:separator/>
      </w:r>
    </w:p>
  </w:footnote>
  <w:footnote w:type="continuationSeparator" w:id="0">
    <w:p w:rsidR="00273B3B" w:rsidRDefault="00273B3B" w:rsidP="008112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370" w:rsidRDefault="00DF70DF">
    <w:pPr>
      <w:pStyle w:val="Header"/>
      <w:rPr>
        <w:rFonts w:ascii="Arial Black" w:hAnsi="Arial Black"/>
        <w:noProof/>
        <w:lang w:eastAsia="ro-RO"/>
      </w:rPr>
    </w:pPr>
    <w:r w:rsidRPr="005433E4">
      <w:rPr>
        <w:rFonts w:ascii="Times New Roman" w:hAnsi="Times New Roman"/>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81pt">
          <v:imagedata r:id="rId1" o:title="BannerAnale_final2018"/>
        </v:shape>
      </w:pict>
    </w:r>
  </w:p>
  <w:p w:rsidR="00CC3370" w:rsidRDefault="00CC3370">
    <w:pPr>
      <w:pStyle w:val="Header"/>
      <w:rPr>
        <w:rFonts w:ascii="Times New Roman" w:hAnsi="Times New Roman"/>
      </w:rPr>
    </w:pPr>
    <w:r>
      <w:rPr>
        <w:rFonts w:ascii="Times New Roman" w:hAnsi="Times New Roman"/>
        <w:b/>
        <w:bCs/>
      </w:rPr>
      <w:t>Issue</w:t>
    </w:r>
    <w:r w:rsidR="00BD5545">
      <w:rPr>
        <w:rFonts w:ascii="Times New Roman" w:hAnsi="Times New Roman"/>
        <w:b/>
        <w:bCs/>
      </w:rPr>
      <w:t xml:space="preserve"> </w:t>
    </w:r>
    <w:r w:rsidR="00E87F11">
      <w:rPr>
        <w:rFonts w:ascii="Times New Roman" w:hAnsi="Times New Roman"/>
        <w:b/>
        <w:bCs/>
      </w:rPr>
      <w:t>1</w:t>
    </w:r>
    <w:r>
      <w:rPr>
        <w:rFonts w:ascii="Times New Roman" w:hAnsi="Times New Roman"/>
        <w:b/>
        <w:bCs/>
      </w:rPr>
      <w:t>/20</w:t>
    </w:r>
    <w:r w:rsidR="00510622">
      <w:rPr>
        <w:rFonts w:ascii="Times New Roman" w:hAnsi="Times New Roman"/>
        <w:b/>
        <w:bCs/>
      </w:rPr>
      <w:t>2</w:t>
    </w:r>
    <w:r w:rsidR="00E87F11">
      <w:rPr>
        <w:rFonts w:ascii="Times New Roman" w:hAnsi="Times New Roman"/>
        <w:b/>
        <w:bCs/>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370" w:rsidRDefault="00DF70DF">
    <w:pPr>
      <w:pStyle w:val="Header"/>
      <w:rPr>
        <w:noProof/>
        <w:lang w:eastAsia="ro-RO"/>
      </w:rPr>
    </w:pPr>
    <w:r w:rsidRPr="005433E4">
      <w:rPr>
        <w:rFonts w:ascii="Times New Roman" w:hAnsi="Times New Roman"/>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8.25pt;height:81pt">
          <v:imagedata r:id="rId1" o:title="BannerAnale_final2018"/>
        </v:shape>
      </w:pict>
    </w:r>
  </w:p>
  <w:p w:rsidR="00CC3370" w:rsidRDefault="00CC3370">
    <w:pPr>
      <w:pStyle w:val="Header"/>
      <w:tabs>
        <w:tab w:val="clear" w:pos="4703"/>
        <w:tab w:val="clear" w:pos="9406"/>
        <w:tab w:val="left" w:pos="2190"/>
      </w:tabs>
      <w:jc w:val="right"/>
      <w:rPr>
        <w:rFonts w:ascii="Times New Roman" w:hAnsi="Times New Roman"/>
      </w:rPr>
    </w:pPr>
    <w:r>
      <w:rPr>
        <w:rFonts w:ascii="Times New Roman" w:hAnsi="Times New Roman"/>
        <w:b/>
        <w:bCs/>
      </w:rPr>
      <w:t xml:space="preserve">Issue </w:t>
    </w:r>
    <w:r w:rsidR="00E87F11">
      <w:rPr>
        <w:rFonts w:ascii="Times New Roman" w:hAnsi="Times New Roman"/>
        <w:b/>
        <w:bCs/>
      </w:rPr>
      <w:t>1</w:t>
    </w:r>
    <w:r>
      <w:rPr>
        <w:rFonts w:ascii="Times New Roman" w:hAnsi="Times New Roman"/>
        <w:b/>
        <w:bCs/>
      </w:rPr>
      <w:t>/20</w:t>
    </w:r>
    <w:r w:rsidR="00510622">
      <w:rPr>
        <w:rFonts w:ascii="Times New Roman" w:hAnsi="Times New Roman"/>
        <w:b/>
        <w:bCs/>
      </w:rPr>
      <w:t>2</w:t>
    </w:r>
    <w:r w:rsidR="00E87F11">
      <w:rPr>
        <w:rFonts w:ascii="Times New Roman" w:hAnsi="Times New Roman"/>
        <w:b/>
        <w:bCs/>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D347C"/>
    <w:multiLevelType w:val="hybridMultilevel"/>
    <w:tmpl w:val="74CE9BC6"/>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
    <w:nsid w:val="1AA278EF"/>
    <w:multiLevelType w:val="hybridMultilevel"/>
    <w:tmpl w:val="048C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23CC1"/>
    <w:multiLevelType w:val="hybridMultilevel"/>
    <w:tmpl w:val="247A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C0055D"/>
    <w:multiLevelType w:val="hybridMultilevel"/>
    <w:tmpl w:val="C18EF76E"/>
    <w:lvl w:ilvl="0" w:tplc="FA8E9D8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595147"/>
    <w:multiLevelType w:val="hybridMultilevel"/>
    <w:tmpl w:val="B9E4F3B0"/>
    <w:lvl w:ilvl="0" w:tplc="D0E68424">
      <w:numFmt w:val="bullet"/>
      <w:lvlText w:val="-"/>
      <w:lvlJc w:val="left"/>
      <w:pPr>
        <w:ind w:left="644" w:hanging="360"/>
      </w:pPr>
      <w:rPr>
        <w:rFonts w:ascii="Times New Roman" w:eastAsia="SimSu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5">
    <w:nsid w:val="42B14F42"/>
    <w:multiLevelType w:val="hybridMultilevel"/>
    <w:tmpl w:val="9D346DD4"/>
    <w:lvl w:ilvl="0" w:tplc="1CC8A7C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439F74C1"/>
    <w:multiLevelType w:val="hybridMultilevel"/>
    <w:tmpl w:val="E890885C"/>
    <w:lvl w:ilvl="0" w:tplc="E9FAB8B4">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7">
    <w:nsid w:val="49741CCA"/>
    <w:multiLevelType w:val="hybridMultilevel"/>
    <w:tmpl w:val="3D6CAA36"/>
    <w:lvl w:ilvl="0" w:tplc="608C62E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E4B8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0FE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F0FD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6A0A8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98CF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70DF3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5C59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22B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6786F81"/>
    <w:multiLevelType w:val="hybridMultilevel"/>
    <w:tmpl w:val="680C174A"/>
    <w:lvl w:ilvl="0" w:tplc="8C38D476">
      <w:numFmt w:val="bullet"/>
      <w:lvlText w:val="-"/>
      <w:lvlJc w:val="left"/>
      <w:pPr>
        <w:ind w:left="716" w:hanging="432"/>
      </w:pPr>
      <w:rPr>
        <w:rFonts w:ascii="Times New Roman" w:eastAsia="SimSu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9">
    <w:nsid w:val="6BE2178C"/>
    <w:multiLevelType w:val="hybridMultilevel"/>
    <w:tmpl w:val="2F763FF8"/>
    <w:lvl w:ilvl="0" w:tplc="E9FAB8B4">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nsid w:val="6D801C81"/>
    <w:multiLevelType w:val="hybridMultilevel"/>
    <w:tmpl w:val="7548E0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AB7C08"/>
    <w:multiLevelType w:val="hybridMultilevel"/>
    <w:tmpl w:val="D4EC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59466C"/>
    <w:multiLevelType w:val="hybridMultilevel"/>
    <w:tmpl w:val="D8002774"/>
    <w:lvl w:ilvl="0" w:tplc="021C272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FDB4BD4"/>
    <w:multiLevelType w:val="hybridMultilevel"/>
    <w:tmpl w:val="EE4ECA36"/>
    <w:lvl w:ilvl="0" w:tplc="1DFCBB8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2"/>
  </w:num>
  <w:num w:numId="4">
    <w:abstractNumId w:val="10"/>
  </w:num>
  <w:num w:numId="5">
    <w:abstractNumId w:val="11"/>
  </w:num>
  <w:num w:numId="6">
    <w:abstractNumId w:val="6"/>
  </w:num>
  <w:num w:numId="7">
    <w:abstractNumId w:val="8"/>
  </w:num>
  <w:num w:numId="8">
    <w:abstractNumId w:val="0"/>
  </w:num>
  <w:num w:numId="9">
    <w:abstractNumId w:val="9"/>
  </w:num>
  <w:num w:numId="10">
    <w:abstractNumId w:val="4"/>
  </w:num>
  <w:num w:numId="11">
    <w:abstractNumId w:val="13"/>
  </w:num>
  <w:num w:numId="12">
    <w:abstractNumId w:val="3"/>
  </w:num>
  <w:num w:numId="13">
    <w:abstractNumId w:val="7"/>
  </w:num>
  <w:num w:numId="14">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7CC"/>
    <w:rsid w:val="00006E21"/>
    <w:rsid w:val="000323C2"/>
    <w:rsid w:val="000432E9"/>
    <w:rsid w:val="0004701D"/>
    <w:rsid w:val="00050FE8"/>
    <w:rsid w:val="0006735F"/>
    <w:rsid w:val="00077FCF"/>
    <w:rsid w:val="000832DA"/>
    <w:rsid w:val="00085734"/>
    <w:rsid w:val="00095D00"/>
    <w:rsid w:val="000A219B"/>
    <w:rsid w:val="000E4939"/>
    <w:rsid w:val="000F6E2B"/>
    <w:rsid w:val="00104592"/>
    <w:rsid w:val="001239B4"/>
    <w:rsid w:val="00123C48"/>
    <w:rsid w:val="00167244"/>
    <w:rsid w:val="001733CE"/>
    <w:rsid w:val="001A3BD2"/>
    <w:rsid w:val="001D23BB"/>
    <w:rsid w:val="001D4DE2"/>
    <w:rsid w:val="00202C46"/>
    <w:rsid w:val="00224ABB"/>
    <w:rsid w:val="00250D20"/>
    <w:rsid w:val="00253C3F"/>
    <w:rsid w:val="00273B3B"/>
    <w:rsid w:val="00282ABA"/>
    <w:rsid w:val="00295A4D"/>
    <w:rsid w:val="002A4BE6"/>
    <w:rsid w:val="002A7F38"/>
    <w:rsid w:val="002B7B5E"/>
    <w:rsid w:val="002E70AE"/>
    <w:rsid w:val="002F36AD"/>
    <w:rsid w:val="0032023B"/>
    <w:rsid w:val="00334F9C"/>
    <w:rsid w:val="00335E32"/>
    <w:rsid w:val="003556DB"/>
    <w:rsid w:val="00374C61"/>
    <w:rsid w:val="003934F3"/>
    <w:rsid w:val="003A1563"/>
    <w:rsid w:val="003E3254"/>
    <w:rsid w:val="0041536F"/>
    <w:rsid w:val="00420C4B"/>
    <w:rsid w:val="00424434"/>
    <w:rsid w:val="00435BF8"/>
    <w:rsid w:val="0045078C"/>
    <w:rsid w:val="0045269B"/>
    <w:rsid w:val="00460DA5"/>
    <w:rsid w:val="004D2B3E"/>
    <w:rsid w:val="004D7C71"/>
    <w:rsid w:val="004E0D7C"/>
    <w:rsid w:val="004F45CD"/>
    <w:rsid w:val="00510622"/>
    <w:rsid w:val="005235BB"/>
    <w:rsid w:val="00524538"/>
    <w:rsid w:val="005500BD"/>
    <w:rsid w:val="00560F1F"/>
    <w:rsid w:val="00563243"/>
    <w:rsid w:val="00572E6C"/>
    <w:rsid w:val="00580856"/>
    <w:rsid w:val="005B0C45"/>
    <w:rsid w:val="005D5162"/>
    <w:rsid w:val="00602EDD"/>
    <w:rsid w:val="00603D2D"/>
    <w:rsid w:val="00604165"/>
    <w:rsid w:val="0064068B"/>
    <w:rsid w:val="00645A0C"/>
    <w:rsid w:val="006468FF"/>
    <w:rsid w:val="006514DE"/>
    <w:rsid w:val="00653CBE"/>
    <w:rsid w:val="00657D03"/>
    <w:rsid w:val="0066677A"/>
    <w:rsid w:val="006743B9"/>
    <w:rsid w:val="00692349"/>
    <w:rsid w:val="0069370D"/>
    <w:rsid w:val="006B09E2"/>
    <w:rsid w:val="006B2F1B"/>
    <w:rsid w:val="006C7043"/>
    <w:rsid w:val="006F61FB"/>
    <w:rsid w:val="007033E3"/>
    <w:rsid w:val="0070342C"/>
    <w:rsid w:val="007167CC"/>
    <w:rsid w:val="00717C0B"/>
    <w:rsid w:val="007250FF"/>
    <w:rsid w:val="00741C21"/>
    <w:rsid w:val="0075662A"/>
    <w:rsid w:val="007B0C8B"/>
    <w:rsid w:val="007C0735"/>
    <w:rsid w:val="007C5E96"/>
    <w:rsid w:val="007D663D"/>
    <w:rsid w:val="007E4EE7"/>
    <w:rsid w:val="00811203"/>
    <w:rsid w:val="00836AEE"/>
    <w:rsid w:val="008378B1"/>
    <w:rsid w:val="008A59DD"/>
    <w:rsid w:val="008B3436"/>
    <w:rsid w:val="008B4A9C"/>
    <w:rsid w:val="008D33F0"/>
    <w:rsid w:val="00904943"/>
    <w:rsid w:val="00963CFF"/>
    <w:rsid w:val="00965EE7"/>
    <w:rsid w:val="009667FD"/>
    <w:rsid w:val="00973CB7"/>
    <w:rsid w:val="009761D4"/>
    <w:rsid w:val="00984A5F"/>
    <w:rsid w:val="00986633"/>
    <w:rsid w:val="00995A76"/>
    <w:rsid w:val="009D35DC"/>
    <w:rsid w:val="009D772E"/>
    <w:rsid w:val="009E2B39"/>
    <w:rsid w:val="009E3196"/>
    <w:rsid w:val="00A30AE3"/>
    <w:rsid w:val="00A466CC"/>
    <w:rsid w:val="00A53614"/>
    <w:rsid w:val="00A73EF5"/>
    <w:rsid w:val="00AC056B"/>
    <w:rsid w:val="00AC567F"/>
    <w:rsid w:val="00AC67B8"/>
    <w:rsid w:val="00AD2685"/>
    <w:rsid w:val="00B017EF"/>
    <w:rsid w:val="00B11164"/>
    <w:rsid w:val="00B41DB5"/>
    <w:rsid w:val="00B50FBE"/>
    <w:rsid w:val="00B60726"/>
    <w:rsid w:val="00B622AC"/>
    <w:rsid w:val="00B63F5C"/>
    <w:rsid w:val="00B76F60"/>
    <w:rsid w:val="00B8493A"/>
    <w:rsid w:val="00BD5545"/>
    <w:rsid w:val="00C1081A"/>
    <w:rsid w:val="00C174C7"/>
    <w:rsid w:val="00C237E5"/>
    <w:rsid w:val="00C26E90"/>
    <w:rsid w:val="00C30F1C"/>
    <w:rsid w:val="00C313AF"/>
    <w:rsid w:val="00C50267"/>
    <w:rsid w:val="00C53769"/>
    <w:rsid w:val="00C6272A"/>
    <w:rsid w:val="00C73731"/>
    <w:rsid w:val="00C7698A"/>
    <w:rsid w:val="00C84AE1"/>
    <w:rsid w:val="00C90A05"/>
    <w:rsid w:val="00CA6ABD"/>
    <w:rsid w:val="00CB09FD"/>
    <w:rsid w:val="00CB41BB"/>
    <w:rsid w:val="00CC03EB"/>
    <w:rsid w:val="00CC292E"/>
    <w:rsid w:val="00CC3370"/>
    <w:rsid w:val="00CC5846"/>
    <w:rsid w:val="00CE6D3A"/>
    <w:rsid w:val="00CF380E"/>
    <w:rsid w:val="00D115FF"/>
    <w:rsid w:val="00D155F2"/>
    <w:rsid w:val="00D32366"/>
    <w:rsid w:val="00D4405B"/>
    <w:rsid w:val="00D67BA5"/>
    <w:rsid w:val="00DA6060"/>
    <w:rsid w:val="00DB0E98"/>
    <w:rsid w:val="00DB53AD"/>
    <w:rsid w:val="00DF70DF"/>
    <w:rsid w:val="00E01D88"/>
    <w:rsid w:val="00E17594"/>
    <w:rsid w:val="00E2373A"/>
    <w:rsid w:val="00E35F7E"/>
    <w:rsid w:val="00E63808"/>
    <w:rsid w:val="00E647B4"/>
    <w:rsid w:val="00E83CE8"/>
    <w:rsid w:val="00E85DEA"/>
    <w:rsid w:val="00E87F11"/>
    <w:rsid w:val="00E90970"/>
    <w:rsid w:val="00EA31A9"/>
    <w:rsid w:val="00EE0C78"/>
    <w:rsid w:val="00EE2C92"/>
    <w:rsid w:val="00F12BF1"/>
    <w:rsid w:val="00F306B1"/>
    <w:rsid w:val="00F6585E"/>
    <w:rsid w:val="00F868B8"/>
    <w:rsid w:val="00F87EF5"/>
    <w:rsid w:val="00FB51CE"/>
    <w:rsid w:val="00FC6BC2"/>
    <w:rsid w:val="00FF3C22"/>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Mangal"/>
      <w:kern w:val="1"/>
      <w:sz w:val="22"/>
      <w:szCs w:val="22"/>
      <w:lang w:val="en-US" w:eastAsia="hi-IN" w:bidi="hi-IN"/>
    </w:rPr>
  </w:style>
  <w:style w:type="paragraph" w:styleId="Heading1">
    <w:name w:val="heading 1"/>
    <w:basedOn w:val="Normal"/>
    <w:next w:val="Normal"/>
    <w:qFormat/>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hAnsi="Times New Roman"/>
      <w:b/>
      <w:szCs w:val="24"/>
    </w:rPr>
  </w:style>
  <w:style w:type="paragraph" w:styleId="Heading2">
    <w:name w:val="heading 2"/>
    <w:basedOn w:val="Normal"/>
    <w:next w:val="Normal"/>
    <w:qFormat/>
    <w:pPr>
      <w:keepNext/>
      <w:shd w:val="clear" w:color="auto" w:fill="FFFFFF"/>
      <w:spacing w:after="0" w:line="240" w:lineRule="auto"/>
      <w:ind w:firstLine="510"/>
      <w:jc w:val="both"/>
      <w:outlineLvl w:val="1"/>
    </w:pPr>
    <w:rPr>
      <w:rFonts w:ascii="Times New Roman" w:hAnsi="Times New Roman"/>
      <w:b/>
      <w:bCs/>
      <w:szCs w:val="24"/>
    </w:rPr>
  </w:style>
  <w:style w:type="paragraph" w:styleId="Heading3">
    <w:name w:val="heading 3"/>
    <w:basedOn w:val="Normal"/>
    <w:next w:val="Normal"/>
    <w:qFormat/>
    <w:pPr>
      <w:keepNext/>
      <w:tabs>
        <w:tab w:val="left" w:pos="567"/>
      </w:tabs>
      <w:autoSpaceDE w:val="0"/>
      <w:autoSpaceDN w:val="0"/>
      <w:adjustRightInd w:val="0"/>
      <w:spacing w:after="0" w:line="240" w:lineRule="auto"/>
      <w:ind w:firstLine="510"/>
      <w:jc w:val="right"/>
      <w:outlineLvl w:val="2"/>
    </w:pPr>
    <w:rPr>
      <w:rFonts w:ascii="Times New Roman" w:hAnsi="Times New Roman"/>
      <w:b/>
      <w:color w:val="00000A"/>
      <w:szCs w:val="24"/>
    </w:rPr>
  </w:style>
  <w:style w:type="paragraph" w:styleId="Heading4">
    <w:name w:val="heading 4"/>
    <w:basedOn w:val="Normal"/>
    <w:next w:val="Normal"/>
    <w:link w:val="Heading4Char"/>
    <w:uiPriority w:val="9"/>
    <w:semiHidden/>
    <w:unhideWhenUsed/>
    <w:qFormat/>
    <w:rsid w:val="007167CC"/>
    <w:pPr>
      <w:keepNext/>
      <w:spacing w:before="240" w:after="60"/>
      <w:outlineLvl w:val="3"/>
    </w:pPr>
    <w:rPr>
      <w:rFonts w:eastAsia="Times New Roman"/>
      <w:b/>
      <w:bCs/>
      <w:sz w:val="28"/>
      <w:szCs w:val="25"/>
      <w:lang/>
    </w:rPr>
  </w:style>
  <w:style w:type="paragraph" w:styleId="Heading5">
    <w:name w:val="heading 5"/>
    <w:basedOn w:val="Normal"/>
    <w:next w:val="Normal"/>
    <w:link w:val="Heading5Char"/>
    <w:uiPriority w:val="9"/>
    <w:unhideWhenUsed/>
    <w:qFormat/>
    <w:rsid w:val="007167CC"/>
    <w:pPr>
      <w:spacing w:before="240" w:after="60"/>
      <w:outlineLvl w:val="4"/>
    </w:pPr>
    <w:rPr>
      <w:rFonts w:eastAsia="Times New Roman"/>
      <w:b/>
      <w:bCs/>
      <w:i/>
      <w:iCs/>
      <w:sz w:val="26"/>
      <w:szCs w:val="23"/>
      <w:lang/>
    </w:rPr>
  </w:style>
  <w:style w:type="paragraph" w:styleId="Heading8">
    <w:name w:val="heading 8"/>
    <w:basedOn w:val="Normal"/>
    <w:next w:val="Normal"/>
    <w:link w:val="Heading8Char"/>
    <w:uiPriority w:val="9"/>
    <w:semiHidden/>
    <w:unhideWhenUsed/>
    <w:qFormat/>
    <w:rsid w:val="007167CC"/>
    <w:pPr>
      <w:spacing w:before="240" w:after="60"/>
      <w:outlineLvl w:val="7"/>
    </w:pPr>
    <w:rPr>
      <w:rFonts w:eastAsia="Times New Roman"/>
      <w:i/>
      <w:iCs/>
      <w:sz w:val="24"/>
      <w:szCs w:val="21"/>
      <w:lang/>
    </w:rPr>
  </w:style>
  <w:style w:type="paragraph" w:styleId="Heading9">
    <w:name w:val="heading 9"/>
    <w:basedOn w:val="Normal"/>
    <w:next w:val="Normal"/>
    <w:link w:val="Heading9Char"/>
    <w:uiPriority w:val="9"/>
    <w:semiHidden/>
    <w:unhideWhenUsed/>
    <w:qFormat/>
    <w:rsid w:val="007167CC"/>
    <w:pPr>
      <w:spacing w:before="240" w:after="60"/>
      <w:outlineLvl w:val="8"/>
    </w:pPr>
    <w:rPr>
      <w:rFonts w:ascii="Cambria" w:eastAsia="Times New Roman" w:hAnsi="Cambria"/>
      <w:szCs w:val="20"/>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7167CC"/>
    <w:rPr>
      <w:rFonts w:ascii="Calibri" w:eastAsia="Times New Roman" w:hAnsi="Calibri" w:cs="Mangal"/>
      <w:b/>
      <w:bCs/>
      <w:kern w:val="1"/>
      <w:sz w:val="28"/>
      <w:szCs w:val="25"/>
      <w:lang w:eastAsia="hi-IN" w:bidi="hi-IN"/>
    </w:rPr>
  </w:style>
  <w:style w:type="character" w:customStyle="1" w:styleId="Heading5Char">
    <w:name w:val="Heading 5 Char"/>
    <w:link w:val="Heading5"/>
    <w:uiPriority w:val="9"/>
    <w:rsid w:val="007167CC"/>
    <w:rPr>
      <w:rFonts w:ascii="Calibri" w:eastAsia="Times New Roman" w:hAnsi="Calibri" w:cs="Mangal"/>
      <w:b/>
      <w:bCs/>
      <w:i/>
      <w:iCs/>
      <w:kern w:val="1"/>
      <w:sz w:val="26"/>
      <w:szCs w:val="23"/>
      <w:lang w:eastAsia="hi-IN" w:bidi="hi-IN"/>
    </w:rPr>
  </w:style>
  <w:style w:type="character" w:customStyle="1" w:styleId="Heading8Char">
    <w:name w:val="Heading 8 Char"/>
    <w:link w:val="Heading8"/>
    <w:uiPriority w:val="9"/>
    <w:semiHidden/>
    <w:rsid w:val="007167CC"/>
    <w:rPr>
      <w:rFonts w:ascii="Calibri" w:eastAsia="Times New Roman" w:hAnsi="Calibri" w:cs="Mangal"/>
      <w:i/>
      <w:iCs/>
      <w:kern w:val="1"/>
      <w:sz w:val="24"/>
      <w:szCs w:val="21"/>
      <w:lang w:eastAsia="hi-IN" w:bidi="hi-IN"/>
    </w:rPr>
  </w:style>
  <w:style w:type="character" w:customStyle="1" w:styleId="Heading9Char">
    <w:name w:val="Heading 9 Char"/>
    <w:link w:val="Heading9"/>
    <w:uiPriority w:val="9"/>
    <w:semiHidden/>
    <w:rsid w:val="007167CC"/>
    <w:rPr>
      <w:rFonts w:ascii="Cambria" w:eastAsia="Times New Roman" w:hAnsi="Cambria" w:cs="Mangal"/>
      <w:kern w:val="1"/>
      <w:sz w:val="22"/>
      <w:lang w:eastAsia="hi-IN" w:bidi="hi-IN"/>
    </w:rPr>
  </w:style>
  <w:style w:type="character" w:customStyle="1" w:styleId="DefaultParagraphFont1">
    <w:name w:val="Default Paragraph Font1"/>
  </w:style>
  <w:style w:type="character" w:styleId="Hyperlink">
    <w:name w:val="Hyperlink"/>
    <w:uiPriority w:val="99"/>
    <w:rPr>
      <w:color w:val="0000FF"/>
      <w:u w:val="single"/>
      <w:lang/>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customStyle="1" w:styleId="Caption1">
    <w:name w:val="Caption1"/>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Header">
    <w:name w:val="header"/>
    <w:basedOn w:val="Normal"/>
    <w:semiHidden/>
    <w:pPr>
      <w:suppressLineNumbers/>
      <w:tabs>
        <w:tab w:val="center" w:pos="4703"/>
        <w:tab w:val="right" w:pos="9406"/>
      </w:tabs>
    </w:pPr>
  </w:style>
  <w:style w:type="paragraph" w:styleId="Footer">
    <w:name w:val="footer"/>
    <w:basedOn w:val="Normal"/>
    <w:semiHidden/>
    <w:pPr>
      <w:suppressLineNumbers/>
      <w:tabs>
        <w:tab w:val="center" w:pos="4703"/>
        <w:tab w:val="right" w:pos="9406"/>
      </w:tabs>
    </w:pPr>
  </w:style>
  <w:style w:type="paragraph" w:styleId="BodyText2">
    <w:name w:val="Body Text 2"/>
    <w:basedOn w:val="Normal"/>
    <w:semiHidden/>
    <w:pPr>
      <w:spacing w:after="0" w:line="360" w:lineRule="auto"/>
      <w:jc w:val="both"/>
    </w:pPr>
    <w:rPr>
      <w:rFonts w:ascii="Times New Roman" w:hAnsi="Times New Roman"/>
      <w:sz w:val="24"/>
      <w:szCs w:val="24"/>
    </w:rPr>
  </w:style>
  <w:style w:type="character" w:styleId="PageNumber">
    <w:name w:val="page number"/>
    <w:basedOn w:val="DefaultParagraphFont"/>
    <w:semiHidden/>
  </w:style>
  <w:style w:type="paragraph" w:styleId="BlockText">
    <w:name w:val="Block Text"/>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firstLine="510"/>
      <w:jc w:val="both"/>
    </w:pPr>
    <w:rPr>
      <w:rFonts w:ascii="Times New Roman" w:hAnsi="Times New Roman"/>
      <w:i/>
      <w:iCs/>
      <w:szCs w:val="24"/>
    </w:rPr>
  </w:style>
  <w:style w:type="paragraph" w:styleId="BodyText3">
    <w:name w:val="Body Text 3"/>
    <w:basedOn w:val="Normal"/>
    <w:semiHidden/>
    <w:pPr>
      <w:spacing w:after="0" w:line="240" w:lineRule="auto"/>
      <w:jc w:val="center"/>
    </w:pPr>
    <w:rPr>
      <w:rFonts w:ascii="Times New Roman" w:hAnsi="Times New Roman"/>
      <w:b/>
      <w:szCs w:val="32"/>
    </w:rPr>
  </w:style>
  <w:style w:type="paragraph" w:styleId="BodyTextIndent">
    <w:name w:val="Body Text Indent"/>
    <w:basedOn w:val="Normal"/>
    <w:semiHidden/>
    <w:pPr>
      <w:shd w:val="clear" w:color="auto" w:fill="FFFFFF"/>
      <w:spacing w:after="0" w:line="240" w:lineRule="auto"/>
      <w:ind w:firstLine="510"/>
      <w:jc w:val="both"/>
    </w:pPr>
    <w:rPr>
      <w:rFonts w:ascii="Times New Roman" w:hAnsi="Times New Roman"/>
      <w:szCs w:val="24"/>
    </w:rPr>
  </w:style>
  <w:style w:type="paragraph" w:styleId="BodyTextIndent2">
    <w:name w:val="Body Text Indent 2"/>
    <w:basedOn w:val="Normal"/>
    <w:semiHidden/>
    <w:pPr>
      <w:tabs>
        <w:tab w:val="left" w:pos="567"/>
      </w:tabs>
      <w:spacing w:after="0" w:line="240" w:lineRule="auto"/>
      <w:ind w:firstLine="510"/>
      <w:jc w:val="both"/>
    </w:pPr>
    <w:rPr>
      <w:rFonts w:ascii="Times New Roman" w:hAnsi="Times New Roman"/>
      <w:b/>
      <w:szCs w:val="24"/>
    </w:rPr>
  </w:style>
  <w:style w:type="paragraph" w:styleId="ListParagraph">
    <w:name w:val="List Paragraph"/>
    <w:basedOn w:val="Normal"/>
    <w:uiPriority w:val="34"/>
    <w:qFormat/>
    <w:pPr>
      <w:suppressAutoHyphens w:val="0"/>
      <w:ind w:left="720"/>
    </w:pPr>
    <w:rPr>
      <w:rFonts w:eastAsia="Times New Roman"/>
      <w:kern w:val="0"/>
      <w:lang w:val="en-GB" w:eastAsia="en-GB"/>
    </w:rPr>
  </w:style>
  <w:style w:type="character" w:styleId="FootnoteReference">
    <w:name w:val="footnote reference"/>
    <w:semiHidden/>
    <w:rPr>
      <w:rFonts w:ascii="Times New Roman" w:hAnsi="Times New Roman" w:cs="Times New Roman"/>
      <w:vertAlign w:val="superscript"/>
    </w:rPr>
  </w:style>
  <w:style w:type="paragraph" w:styleId="FootnoteText">
    <w:name w:val="footnote text"/>
    <w:basedOn w:val="Normal"/>
    <w:semiHidden/>
    <w:pPr>
      <w:suppressAutoHyphens w:val="0"/>
      <w:spacing w:after="0" w:line="240" w:lineRule="auto"/>
    </w:pPr>
    <w:rPr>
      <w:rFonts w:eastAsia="Times New Roman"/>
      <w:kern w:val="0"/>
      <w:sz w:val="20"/>
      <w:szCs w:val="20"/>
      <w:lang w:val="en-GB" w:eastAsia="en-GB"/>
    </w:rPr>
  </w:style>
  <w:style w:type="character" w:customStyle="1" w:styleId="apple-style-span">
    <w:name w:val="apple-style-span"/>
    <w:basedOn w:val="DefaultParagraphFont"/>
    <w:rsid w:val="007167CC"/>
  </w:style>
  <w:style w:type="paragraph" w:customStyle="1" w:styleId="Normal1">
    <w:name w:val="Normal1"/>
    <w:rsid w:val="000323C2"/>
    <w:rPr>
      <w:color w:val="000000"/>
      <w:sz w:val="24"/>
      <w:szCs w:val="24"/>
    </w:rPr>
  </w:style>
  <w:style w:type="paragraph" w:styleId="NormalWeb">
    <w:name w:val="Normal (Web)"/>
    <w:basedOn w:val="Normal"/>
    <w:uiPriority w:val="99"/>
    <w:unhideWhenUsed/>
    <w:rsid w:val="000323C2"/>
    <w:pPr>
      <w:suppressAutoHyphens w:val="0"/>
      <w:spacing w:before="100" w:beforeAutospacing="1" w:after="100" w:afterAutospacing="1" w:line="240" w:lineRule="auto"/>
    </w:pPr>
    <w:rPr>
      <w:rFonts w:ascii="Times New Roman" w:eastAsia="Times New Roman" w:hAnsi="Times New Roman" w:cs="Times New Roman"/>
      <w:kern w:val="0"/>
      <w:sz w:val="24"/>
      <w:szCs w:val="24"/>
      <w:lang w:val="ro-RO" w:eastAsia="ro-RO" w:bidi="ar-SA"/>
    </w:rPr>
  </w:style>
  <w:style w:type="character" w:customStyle="1" w:styleId="fn">
    <w:name w:val="fn"/>
    <w:basedOn w:val="DefaultParagraphFont"/>
    <w:rsid w:val="000323C2"/>
  </w:style>
  <w:style w:type="character" w:customStyle="1" w:styleId="addmd1">
    <w:name w:val="addmd1"/>
    <w:rsid w:val="00EE2C92"/>
    <w:rPr>
      <w:rFonts w:ascii="Arial" w:hAnsi="Arial" w:cs="Arial" w:hint="default"/>
      <w:sz w:val="20"/>
      <w:szCs w:val="20"/>
    </w:rPr>
  </w:style>
  <w:style w:type="character" w:styleId="Emphasis">
    <w:name w:val="Emphasis"/>
    <w:qFormat/>
    <w:rsid w:val="00EE2C92"/>
    <w:rPr>
      <w:i/>
      <w:iCs/>
    </w:rPr>
  </w:style>
  <w:style w:type="character" w:customStyle="1" w:styleId="text">
    <w:name w:val="text"/>
    <w:basedOn w:val="DefaultParagraphFont"/>
    <w:rsid w:val="00EE2C92"/>
  </w:style>
  <w:style w:type="character" w:customStyle="1" w:styleId="size-m">
    <w:name w:val="size-m"/>
    <w:basedOn w:val="DefaultParagraphFont"/>
    <w:rsid w:val="00EE2C92"/>
  </w:style>
  <w:style w:type="paragraph" w:customStyle="1" w:styleId="Default">
    <w:name w:val="Default"/>
    <w:rsid w:val="00EE2C92"/>
    <w:pPr>
      <w:autoSpaceDE w:val="0"/>
      <w:autoSpaceDN w:val="0"/>
      <w:adjustRightInd w:val="0"/>
    </w:pPr>
    <w:rPr>
      <w:color w:val="000000"/>
      <w:sz w:val="24"/>
      <w:szCs w:val="24"/>
      <w:lang w:val="en-US"/>
    </w:rPr>
  </w:style>
  <w:style w:type="paragraph" w:customStyle="1" w:styleId="Pa1">
    <w:name w:val="Pa1"/>
    <w:basedOn w:val="Default"/>
    <w:next w:val="Default"/>
    <w:uiPriority w:val="99"/>
    <w:rsid w:val="00EE2C92"/>
    <w:pPr>
      <w:spacing w:line="181" w:lineRule="atLeast"/>
    </w:pPr>
    <w:rPr>
      <w:rFonts w:ascii="Bliss Pro Light" w:hAnsi="Bliss Pro Light"/>
      <w:color w:val="auto"/>
    </w:rPr>
  </w:style>
  <w:style w:type="character" w:customStyle="1" w:styleId="ListLabel5">
    <w:name w:val="ListLabel 5"/>
    <w:rsid w:val="00963CFF"/>
    <w:rPr>
      <w:sz w:val="20"/>
      <w:szCs w:val="20"/>
    </w:rPr>
  </w:style>
  <w:style w:type="paragraph" w:customStyle="1" w:styleId="LO-normal">
    <w:name w:val="LO-normal"/>
    <w:link w:val="LO-normalChar"/>
    <w:rsid w:val="00963CFF"/>
    <w:pPr>
      <w:suppressAutoHyphens/>
    </w:pPr>
    <w:rPr>
      <w:color w:val="000000"/>
      <w:kern w:val="1"/>
      <w:sz w:val="24"/>
      <w:szCs w:val="24"/>
    </w:rPr>
  </w:style>
  <w:style w:type="character" w:customStyle="1" w:styleId="LO-normalChar">
    <w:name w:val="LO-normal Char"/>
    <w:link w:val="LO-normal"/>
    <w:rsid w:val="00963CFF"/>
    <w:rPr>
      <w:color w:val="000000"/>
      <w:kern w:val="1"/>
      <w:sz w:val="24"/>
      <w:szCs w:val="24"/>
      <w:lang w:bidi="ar-SA"/>
    </w:rPr>
  </w:style>
  <w:style w:type="paragraph" w:customStyle="1" w:styleId="LO-normalBold">
    <w:name w:val="LO-normal + Bold"/>
    <w:aliases w:val="Italic"/>
    <w:basedOn w:val="LO-normal"/>
    <w:link w:val="LO-normalBoldChar"/>
    <w:rsid w:val="00963CFF"/>
    <w:pPr>
      <w:jc w:val="center"/>
    </w:pPr>
    <w:rPr>
      <w:b/>
      <w:i/>
      <w:lang/>
    </w:rPr>
  </w:style>
  <w:style w:type="character" w:customStyle="1" w:styleId="LO-normalBoldChar">
    <w:name w:val="LO-normal + Bold Char"/>
    <w:aliases w:val="Italic Char"/>
    <w:link w:val="LO-normalBold"/>
    <w:rsid w:val="00963CFF"/>
    <w:rPr>
      <w:b/>
      <w:i/>
      <w:color w:val="000000"/>
      <w:kern w:val="1"/>
      <w:sz w:val="24"/>
      <w:szCs w:val="24"/>
    </w:rPr>
  </w:style>
  <w:style w:type="character" w:customStyle="1" w:styleId="shorttext">
    <w:name w:val="short_text"/>
    <w:basedOn w:val="DefaultParagraphFont"/>
    <w:rsid w:val="00963CFF"/>
  </w:style>
  <w:style w:type="paragraph" w:customStyle="1" w:styleId="NormalItalic">
    <w:name w:val="Normal + Italic"/>
    <w:aliases w:val="Auto,Justified,First line:  1,27 cm"/>
    <w:basedOn w:val="Normal"/>
    <w:link w:val="NormalItalicAutoJustifiedFirstline127cmCharChar"/>
    <w:rsid w:val="00963CFF"/>
    <w:pPr>
      <w:spacing w:after="0" w:line="240" w:lineRule="auto"/>
      <w:ind w:firstLine="720"/>
      <w:jc w:val="both"/>
    </w:pPr>
    <w:rPr>
      <w:rFonts w:ascii="Times New Roman" w:eastAsia="Times New Roman" w:hAnsi="Times New Roman" w:cs="Times New Roman"/>
      <w:sz w:val="24"/>
      <w:szCs w:val="24"/>
      <w:lang w:bidi="ar-SA"/>
    </w:rPr>
  </w:style>
  <w:style w:type="character" w:customStyle="1" w:styleId="NormalItalicAutoJustifiedFirstline127cmCharChar">
    <w:name w:val="Normal + Italic;Auto;Justified;First line:  1;27 cm Char Char"/>
    <w:link w:val="NormalItalic"/>
    <w:rsid w:val="00963CFF"/>
    <w:rPr>
      <w:kern w:val="1"/>
      <w:sz w:val="24"/>
      <w:szCs w:val="24"/>
    </w:rPr>
  </w:style>
  <w:style w:type="character" w:customStyle="1" w:styleId="hlfld-abstract">
    <w:name w:val="hlfld-abstract"/>
    <w:basedOn w:val="DefaultParagraphFont"/>
    <w:rsid w:val="00963CFF"/>
  </w:style>
  <w:style w:type="table" w:styleId="TableGrid">
    <w:name w:val="Table Grid"/>
    <w:basedOn w:val="TableNormal"/>
    <w:uiPriority w:val="39"/>
    <w:rsid w:val="00C769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239B4"/>
    <w:rPr>
      <w:rFonts w:ascii="Calibri" w:eastAsia="Calibri" w:hAnsi="Calibri"/>
      <w:sz w:val="22"/>
      <w:szCs w:val="22"/>
      <w:lang w:val="de-DE" w:eastAsia="en-US"/>
    </w:rPr>
  </w:style>
  <w:style w:type="character" w:customStyle="1" w:styleId="BalloonTextChar">
    <w:name w:val="Balloon Text Char"/>
    <w:link w:val="BalloonText"/>
    <w:uiPriority w:val="99"/>
    <w:semiHidden/>
    <w:rsid w:val="001239B4"/>
    <w:rPr>
      <w:rFonts w:ascii="Segoe UI" w:eastAsia="Calibri" w:hAnsi="Segoe UI" w:cs="Segoe UI"/>
      <w:sz w:val="18"/>
      <w:szCs w:val="18"/>
      <w:lang w:val="de-DE" w:eastAsia="en-US"/>
    </w:rPr>
  </w:style>
  <w:style w:type="paragraph" w:styleId="BalloonText">
    <w:name w:val="Balloon Text"/>
    <w:basedOn w:val="Normal"/>
    <w:link w:val="BalloonTextChar"/>
    <w:uiPriority w:val="99"/>
    <w:semiHidden/>
    <w:unhideWhenUsed/>
    <w:rsid w:val="001239B4"/>
    <w:pPr>
      <w:suppressAutoHyphens w:val="0"/>
      <w:spacing w:after="0" w:line="240" w:lineRule="auto"/>
    </w:pPr>
    <w:rPr>
      <w:rFonts w:ascii="Segoe UI" w:eastAsia="Calibri" w:hAnsi="Segoe UI" w:cs="Times New Roman"/>
      <w:kern w:val="0"/>
      <w:sz w:val="18"/>
      <w:szCs w:val="18"/>
      <w:lang w:val="de-DE" w:eastAsia="en-US" w:bidi="ar-SA"/>
    </w:rPr>
  </w:style>
  <w:style w:type="table" w:customStyle="1" w:styleId="TableGrid0">
    <w:name w:val="TableGrid"/>
    <w:rsid w:val="00CC292E"/>
    <w:rPr>
      <w:rFonts w:ascii="Calibri" w:hAnsi="Calibri"/>
      <w:sz w:val="22"/>
      <w:szCs w:val="22"/>
      <w:lang w:val="en-GB" w:eastAsia="en-GB"/>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ralpovertyport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dr.undp.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4FCFD-A290-4E88-9E0A-8D861CBF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4823</Words>
  <Characters>27975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Some hints on individual lending and different factors affecting the credit activity risks</vt:lpstr>
    </vt:vector>
  </TitlesOfParts>
  <Company>Microsoft</Company>
  <LinksUpToDate>false</LinksUpToDate>
  <CharactersWithSpaces>32733</CharactersWithSpaces>
  <SharedDoc>false</SharedDoc>
  <HLinks>
    <vt:vector size="12" baseType="variant">
      <vt:variant>
        <vt:i4>5439573</vt:i4>
      </vt:variant>
      <vt:variant>
        <vt:i4>3</vt:i4>
      </vt:variant>
      <vt:variant>
        <vt:i4>0</vt:i4>
      </vt:variant>
      <vt:variant>
        <vt:i4>5</vt:i4>
      </vt:variant>
      <vt:variant>
        <vt:lpwstr>http://hdr.undp.org/</vt:lpwstr>
      </vt:variant>
      <vt:variant>
        <vt:lpwstr/>
      </vt:variant>
      <vt:variant>
        <vt:i4>7667774</vt:i4>
      </vt:variant>
      <vt:variant>
        <vt:i4>0</vt:i4>
      </vt:variant>
      <vt:variant>
        <vt:i4>0</vt:i4>
      </vt:variant>
      <vt:variant>
        <vt:i4>5</vt:i4>
      </vt:variant>
      <vt:variant>
        <vt:lpwstr>http://www.ruralpovertyportal/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 hints on individual lending and different factors affecting the credit activity risks</dc:title>
  <dc:creator>MARI</dc:creator>
  <cp:lastModifiedBy>Ciotoiu</cp:lastModifiedBy>
  <cp:revision>2</cp:revision>
  <cp:lastPrinted>2017-02-23T10:49:00Z</cp:lastPrinted>
  <dcterms:created xsi:type="dcterms:W3CDTF">2022-03-30T09:06:00Z</dcterms:created>
  <dcterms:modified xsi:type="dcterms:W3CDTF">2022-03-30T09:06:00Z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